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B84B2">
      <w:pPr>
        <w:pStyle w:val="2"/>
        <w:jc w:val="center"/>
      </w:pPr>
    </w:p>
    <w:p w14:paraId="4E5AE273">
      <w:pPr>
        <w:pStyle w:val="2"/>
        <w:jc w:val="center"/>
      </w:pPr>
    </w:p>
    <w:p w14:paraId="68693FF9">
      <w:pPr>
        <w:pStyle w:val="2"/>
        <w:jc w:val="center"/>
      </w:pPr>
      <w:bookmarkStart w:id="0" w:name="_Toc494575042"/>
      <w:bookmarkStart w:id="1" w:name="_Toc79401891"/>
      <w:bookmarkStart w:id="2" w:name="_Toc19569"/>
      <w:bookmarkStart w:id="3" w:name="_Toc53677802"/>
      <w:bookmarkStart w:id="4" w:name="_Toc458670659"/>
      <w:bookmarkStart w:id="5" w:name="_Toc472684120"/>
      <w:bookmarkStart w:id="6" w:name="_Toc78644498"/>
      <w:bookmarkStart w:id="7" w:name="_Toc22862"/>
      <w:r>
        <w:t>《</w:t>
      </w:r>
      <w:r>
        <w:rPr>
          <w:rFonts w:hint="eastAsia"/>
          <w:lang w:val="en-US" w:eastAsia="zh-CN"/>
        </w:rPr>
        <w:t>超声扫描显微镜校准规范</w:t>
      </w:r>
      <w:r>
        <w:t>》</w:t>
      </w:r>
      <w:bookmarkEnd w:id="0"/>
      <w:bookmarkStart w:id="8" w:name="_Toc494575043"/>
      <w:r>
        <w:rPr>
          <w:rFonts w:hint="eastAsia"/>
        </w:rPr>
        <w:t>不确定度分析报告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4E92FC7"/>
    <w:p w14:paraId="2C278B1E"/>
    <w:p w14:paraId="1E0A74CA"/>
    <w:p w14:paraId="7EEB4D82"/>
    <w:p w14:paraId="62503DA0"/>
    <w:p w14:paraId="3745D7EA"/>
    <w:p w14:paraId="5E5428D2"/>
    <w:p w14:paraId="294CFD3E"/>
    <w:p w14:paraId="482C73F1"/>
    <w:p w14:paraId="0C561EC6"/>
    <w:p w14:paraId="5FF2CA16"/>
    <w:p w14:paraId="0AB5A5C8"/>
    <w:p w14:paraId="332A828E"/>
    <w:p w14:paraId="1173E56B"/>
    <w:p w14:paraId="5F0C54CC"/>
    <w:p w14:paraId="75151B7A"/>
    <w:p w14:paraId="4B94381E"/>
    <w:p w14:paraId="4823537E"/>
    <w:p w14:paraId="184991BC"/>
    <w:p w14:paraId="61839A56"/>
    <w:p w14:paraId="32A49AF5">
      <w:pPr>
        <w:pStyle w:val="13"/>
      </w:pPr>
      <w:r>
        <w:t>《</w:t>
      </w:r>
      <w:r>
        <w:rPr>
          <w:rFonts w:hint="eastAsia"/>
        </w:rPr>
        <w:t>超声</w:t>
      </w:r>
      <w:r>
        <w:rPr>
          <w:rFonts w:hint="eastAsia"/>
          <w:lang w:val="en-US" w:eastAsia="zh-CN"/>
        </w:rPr>
        <w:t>扫描显微镜校准规范</w:t>
      </w:r>
      <w:r>
        <w:t>》</w:t>
      </w:r>
      <w:r>
        <w:rPr>
          <w:rFonts w:hint="eastAsia"/>
        </w:rPr>
        <w:t>起草小组</w:t>
      </w:r>
    </w:p>
    <w:p w14:paraId="6C5B6996">
      <w:pPr>
        <w:pStyle w:val="13"/>
      </w:pPr>
      <w:r>
        <w:rPr>
          <w:rFonts w:hint="eastAsia"/>
        </w:rPr>
        <w:t>20</w:t>
      </w:r>
      <w:r>
        <w:t>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.07</w:t>
      </w:r>
    </w:p>
    <w:p w14:paraId="0012309A">
      <w:pPr>
        <w:spacing w:line="360" w:lineRule="auto"/>
        <w:rPr>
          <w:sz w:val="28"/>
          <w:szCs w:val="28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 w14:paraId="41F3E872">
      <w:pPr>
        <w:pStyle w:val="3"/>
        <w:pageBreakBefore/>
        <w:spacing w:line="415" w:lineRule="auto"/>
        <w:jc w:val="center"/>
        <w:rPr>
          <w:rFonts w:hint="eastAsia" w:ascii="Times New Roman" w:hAnsi="Times New Roman"/>
        </w:rPr>
      </w:pPr>
      <w:bookmarkStart w:id="9" w:name="_Toc6386"/>
      <w:bookmarkStart w:id="10" w:name="_Toc30972"/>
      <w:bookmarkStart w:id="11" w:name="_Toc53677803"/>
      <w:bookmarkStart w:id="12" w:name="_Toc472684121"/>
      <w:bookmarkStart w:id="13" w:name="_Toc458670660"/>
      <w:bookmarkStart w:id="14" w:name="_Toc271705955"/>
      <w:bookmarkStart w:id="15" w:name="_Toc79401892"/>
      <w:bookmarkStart w:id="16" w:name="_Toc494575044"/>
      <w:r>
        <w:rPr>
          <w:rFonts w:ascii="Times New Roman" w:hAnsi="Times New Roman"/>
        </w:rPr>
        <w:t>《</w:t>
      </w:r>
      <w:r>
        <w:rPr>
          <w:rFonts w:hint="eastAsia"/>
        </w:rPr>
        <w:t>超声</w:t>
      </w:r>
      <w:r>
        <w:rPr>
          <w:rFonts w:hint="eastAsia"/>
          <w:lang w:val="en-US" w:eastAsia="zh-CN"/>
        </w:rPr>
        <w:t>扫描显微镜校准规范</w:t>
      </w:r>
      <w:r>
        <w:rPr>
          <w:rFonts w:ascii="Times New Roman" w:hAnsi="Times New Roman"/>
        </w:rPr>
        <w:t>》</w:t>
      </w:r>
      <w:r>
        <w:rPr>
          <w:rFonts w:hint="eastAsia" w:ascii="Times New Roman" w:hAnsi="Times New Roman"/>
        </w:rPr>
        <w:t>不确定度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hint="eastAsia" w:ascii="Times New Roman" w:hAnsi="Times New Roman"/>
        </w:rPr>
        <w:t>评定示例</w:t>
      </w:r>
    </w:p>
    <w:p w14:paraId="05CDD6C6">
      <w:pPr>
        <w:numPr>
          <w:ilvl w:val="0"/>
          <w:numId w:val="1"/>
        </w:numPr>
        <w:adjustRightInd w:val="0"/>
        <w:snapToGrid w:val="0"/>
        <w:spacing w:line="360" w:lineRule="auto"/>
        <w:jc w:val="center"/>
        <w:rPr>
          <w:rFonts w:hint="eastAsia" w:eastAsia="黑体"/>
          <w:b/>
          <w:color w:val="000000"/>
          <w:sz w:val="28"/>
          <w:szCs w:val="28"/>
          <w:lang w:val="zh-CN"/>
        </w:rPr>
      </w:pPr>
      <w:r>
        <w:rPr>
          <w:rFonts w:hint="eastAsia" w:eastAsia="黑体"/>
          <w:b/>
          <w:color w:val="000000"/>
          <w:sz w:val="28"/>
          <w:szCs w:val="28"/>
          <w:lang w:val="en-US" w:eastAsia="zh-CN"/>
        </w:rPr>
        <w:t>发射电压</w:t>
      </w:r>
      <w:r>
        <w:rPr>
          <w:rFonts w:hint="eastAsia" w:eastAsia="黑体"/>
          <w:b/>
          <w:color w:val="000000"/>
          <w:sz w:val="28"/>
          <w:szCs w:val="28"/>
          <w:lang w:val="zh-CN"/>
        </w:rPr>
        <w:t>测量不确定度评定示例</w:t>
      </w:r>
    </w:p>
    <w:p w14:paraId="3C3B4225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.1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测量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模型：</w:t>
      </w:r>
      <w:r>
        <w:rPr>
          <w:rFonts w:ascii="Times New Roman" w:hAnsi="Times New Roman" w:eastAsia="宋体" w:cs="Times New Roman"/>
          <w:position w:val="-12"/>
          <w:sz w:val="21"/>
          <w:szCs w:val="21"/>
        </w:rPr>
        <w:object>
          <v:shape id="_x0000_i1093" o:spt="75" type="#_x0000_t75" style="height:18pt;width:38.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3" ShapeID="_x0000_i1093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24"/>
          <w:sz w:val="21"/>
          <w:szCs w:val="21"/>
        </w:rPr>
        <w:t xml:space="preserve">     </w:t>
      </w:r>
      <w:r>
        <w:rPr>
          <w:rFonts w:ascii="Times New Roman" w:hAnsi="Times New Roman" w:eastAsia="宋体" w:cs="Times New Roman"/>
          <w:sz w:val="21"/>
          <w:szCs w:val="21"/>
        </w:rPr>
        <w:t xml:space="preserve">      </w:t>
      </w:r>
    </w:p>
    <w:p w14:paraId="2C600F13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position w:val="-12"/>
          <w:sz w:val="21"/>
          <w:szCs w:val="21"/>
        </w:rPr>
        <w:object>
          <v:shape id="_x0000_i1094" o:spt="75" type="#_x0000_t75" style="height:18pt;width:17.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94" DrawAspect="Content" ObjectID="_1468075726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</w:rPr>
        <w:t>——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发射脉冲电压标称值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</w:rPr>
        <w:t>V</w:t>
      </w:r>
      <w:r>
        <w:rPr>
          <w:rFonts w:ascii="Times New Roman" w:hAnsi="Times New Roman" w:eastAsia="宋体" w:cs="Times New Roman"/>
          <w:sz w:val="21"/>
          <w:szCs w:val="21"/>
        </w:rPr>
        <w:t>；</w:t>
      </w:r>
    </w:p>
    <w:p w14:paraId="4690BADF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position w:val="-6"/>
          <w:sz w:val="21"/>
          <w:szCs w:val="21"/>
        </w:rPr>
        <w:object>
          <v:shape id="_x0000_i1095" o:spt="75" type="#_x0000_t75" style="height:13.95pt;width:12.1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3" ShapeID="_x0000_i1095" DrawAspect="Content" ObjectID="_1468075727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</w:rPr>
        <w:t>——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发射脉冲电压测量值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</w:rPr>
        <w:t>V</w:t>
      </w:r>
      <w:r>
        <w:rPr>
          <w:rFonts w:ascii="Times New Roman" w:hAnsi="Times New Roman" w:eastAsia="宋体" w:cs="Times New Roman"/>
          <w:sz w:val="21"/>
          <w:szCs w:val="21"/>
        </w:rPr>
        <w:t>；</w:t>
      </w:r>
    </w:p>
    <w:p w14:paraId="7C37DA43">
      <w:pPr>
        <w:adjustRightInd/>
        <w:snapToGrid/>
        <w:spacing w:line="360" w:lineRule="auto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.2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方差和灵敏系数：</w:t>
      </w:r>
    </w:p>
    <w:p w14:paraId="54F7FC7B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由于以上各量互不相关，灵敏系数均为1</w:t>
      </w:r>
    </w:p>
    <w:p w14:paraId="72D1592A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故其合成方差为</w:t>
      </w:r>
      <w:r>
        <w:rPr>
          <w:rFonts w:ascii="Times New Roman" w:hAnsi="Times New Roman" w:eastAsia="宋体" w:cs="Times New Roman"/>
          <w:position w:val="-12"/>
          <w:sz w:val="21"/>
          <w:szCs w:val="21"/>
        </w:rPr>
        <w:object>
          <v:shape id="_x0000_i1096" o:spt="75" type="#_x0000_t75" style="height:19pt;width:75.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3" ShapeID="_x0000_i1096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12"/>
          <w:sz w:val="21"/>
          <w:szCs w:val="21"/>
        </w:rPr>
        <w:t xml:space="preserve">   </w:t>
      </w:r>
    </w:p>
    <w:p w14:paraId="15364F21">
      <w:pPr>
        <w:adjustRightInd/>
        <w:snapToGrid/>
        <w:spacing w:line="360" w:lineRule="auto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.3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不确定度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分量</w:t>
      </w:r>
    </w:p>
    <w:p w14:paraId="7CDA017E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  <w:vertAlign w:val="subscript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（1）</w:t>
      </w:r>
      <w:r>
        <w:rPr>
          <w:rFonts w:ascii="Times New Roman" w:hAnsi="Times New Roman" w:eastAsia="宋体" w:cs="Times New Roman"/>
          <w:sz w:val="21"/>
          <w:szCs w:val="21"/>
        </w:rPr>
        <w:t>测量重复性引入的不确定度分</w:t>
      </w:r>
      <w:r>
        <w:rPr>
          <w:rFonts w:hint="eastAsia" w:ascii="Times New Roman" w:hAnsi="Times New Roman" w:eastAsia="宋体" w:cs="Times New Roman"/>
          <w:sz w:val="21"/>
          <w:szCs w:val="21"/>
        </w:rPr>
        <w:t>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1</w:t>
      </w:r>
    </w:p>
    <w:p w14:paraId="72ED1F19">
      <w:pPr>
        <w:adjustRightInd/>
        <w:snapToGrid/>
        <w:spacing w:line="360" w:lineRule="auto"/>
        <w:ind w:firstLine="420" w:firstLineChars="20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在脉冲激励下发射脉冲电压</w:t>
      </w:r>
      <w:r>
        <w:rPr>
          <w:rFonts w:ascii="Times New Roman" w:hAnsi="Times New Roman" w:eastAsia="宋体" w:cs="Times New Roman"/>
          <w:sz w:val="21"/>
          <w:szCs w:val="21"/>
        </w:rPr>
        <w:t>连续测量10次</w:t>
      </w:r>
      <w:r>
        <w:rPr>
          <w:rFonts w:hint="eastAsia" w:ascii="Times New Roman" w:hAnsi="Times New Roman" w:eastAsia="宋体" w:cs="Times New Roman"/>
          <w:sz w:val="21"/>
          <w:szCs w:val="21"/>
        </w:rPr>
        <w:t>（V）</w:t>
      </w:r>
      <w:r>
        <w:rPr>
          <w:rFonts w:ascii="Times New Roman" w:hAnsi="Times New Roman" w:eastAsia="宋体" w:cs="Times New Roman"/>
          <w:sz w:val="21"/>
          <w:szCs w:val="21"/>
        </w:rPr>
        <w:t>：</w:t>
      </w:r>
    </w:p>
    <w:p w14:paraId="311CE0BE">
      <w:pPr>
        <w:adjustRightInd/>
        <w:snapToGrid/>
        <w:spacing w:line="360" w:lineRule="auto"/>
        <w:ind w:left="480" w:firstLine="564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201.5</w:t>
      </w:r>
      <w:r>
        <w:rPr>
          <w:rFonts w:hint="eastAsia" w:ascii="Times New Roman" w:hAnsi="Times New Roman" w:eastAsia="宋体" w:cs="Times New Roman"/>
          <w:sz w:val="21"/>
          <w:szCs w:val="21"/>
        </w:rPr>
        <w:t>、2</w:t>
      </w:r>
      <w:r>
        <w:rPr>
          <w:rFonts w:ascii="Times New Roman" w:hAnsi="Times New Roman" w:eastAsia="宋体" w:cs="Times New Roman"/>
          <w:sz w:val="21"/>
          <w:szCs w:val="21"/>
        </w:rPr>
        <w:t>00.3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201.1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200.8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200.7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201.2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200.3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200.8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201.2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200.7</w:t>
      </w:r>
    </w:p>
    <w:p w14:paraId="7967A003">
      <w:pPr>
        <w:adjustRightInd/>
        <w:snapToGrid/>
        <w:spacing w:line="240" w:lineRule="auto"/>
        <w:ind w:firstLine="560" w:firstLineChars="200"/>
        <w:rPr>
          <w:rFonts w:ascii="Times New Roman" w:hAnsi="Times New Roman" w:eastAsia="宋体" w:cs="Times New Roman"/>
          <w:color w:val="000000"/>
          <w:sz w:val="21"/>
          <w:szCs w:val="21"/>
        </w:rPr>
      </w:pPr>
      <w:r>
        <w:rPr>
          <w:rFonts w:ascii="Times New Roman" w:hAnsi="Times New Roman" w:eastAsia="楷体" w:cs="楷体_GB2312"/>
          <w:position w:val="-22"/>
          <w:sz w:val="28"/>
          <w:szCs w:val="28"/>
        </w:rPr>
        <w:object>
          <v:shape id="_x0000_i1097" o:spt="75" type="#_x0000_t75" style="height:47.55pt;width:87.9pt;" o:ole="t" filled="f" o:preferrelative="t" stroked="f" coordsize="21600,21600">
            <v:path/>
            <v:fill on="f" alignshape="1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DSMT4" ShapeID="_x0000_i1097" DrawAspect="Content" ObjectID="_1468075729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</w:rPr>
        <w:t xml:space="preserve">V       </w:t>
      </w:r>
      <w:r>
        <w:rPr>
          <w:rFonts w:ascii="Times New Roman" w:hAnsi="Times New Roman" w:eastAsia="楷体" w:cs="楷体_GB2312"/>
          <w:position w:val="-24"/>
          <w:sz w:val="28"/>
          <w:szCs w:val="28"/>
        </w:rPr>
        <w:object>
          <v:shape id="_x0000_i1098" o:spt="75" type="#_x0000_t75" style="height:51.9pt;width:101.9pt;" o:ole="t" filled="f" o:preferrelative="t" stroked="f" coordsize="21600,21600">
            <v:path/>
            <v:fill on="f" alignshape="1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DSMT4" ShapeID="_x0000_i1098" DrawAspect="Content" ObjectID="_1468075730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V</w:t>
      </w:r>
    </w:p>
    <w:p w14:paraId="5759B334">
      <w:pPr>
        <w:tabs>
          <w:tab w:val="left" w:pos="720"/>
        </w:tabs>
        <w:adjustRightInd/>
        <w:snapToGrid/>
        <w:spacing w:line="360" w:lineRule="auto"/>
        <w:ind w:firstLine="630" w:firstLineChars="30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则</w:t>
      </w:r>
      <w:r>
        <w:rPr>
          <w:rFonts w:ascii="Times New Roman" w:hAnsi="Times New Roman" w:eastAsia="宋体" w:cs="Times New Roman"/>
          <w:i/>
          <w:iCs/>
          <w:position w:val="-24"/>
          <w:sz w:val="21"/>
          <w:szCs w:val="21"/>
        </w:rPr>
        <w:object>
          <v:shape id="_x0000_i1099" o:spt="75" type="#_x0000_t75" style="height:31pt;width:103pt;" o:ole="t" filled="f" o:preferrelative="t" stroked="f" coordsize="21600,21600">
            <v:path/>
            <v:fill on="f" alignshape="1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3" ShapeID="_x0000_i1099" DrawAspect="Content" ObjectID="_1468075731" r:id="rId19">
            <o:LockedField>false</o:LockedField>
          </o:OLEObject>
        </w:object>
      </w:r>
    </w:p>
    <w:p w14:paraId="4196339B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（2）示波器幅度测量准确度</w:t>
      </w:r>
      <w:r>
        <w:rPr>
          <w:rFonts w:ascii="Times New Roman" w:hAnsi="Times New Roman" w:eastAsia="宋体" w:cs="Times New Roman"/>
          <w:sz w:val="21"/>
          <w:szCs w:val="21"/>
        </w:rPr>
        <w:t>引入的不确定度分</w:t>
      </w:r>
      <w:r>
        <w:rPr>
          <w:rFonts w:hint="eastAsia" w:ascii="Times New Roman" w:hAnsi="Times New Roman" w:eastAsia="宋体" w:cs="Times New Roman"/>
          <w:sz w:val="21"/>
          <w:szCs w:val="21"/>
        </w:rPr>
        <w:t>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2</w:t>
      </w:r>
    </w:p>
    <w:p w14:paraId="28AEF35F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    依据</w:t>
      </w:r>
      <w:r>
        <w:rPr>
          <w:rFonts w:hint="eastAsia" w:ascii="Times New Roman" w:hAnsi="Times New Roman" w:eastAsia="宋体" w:cs="Times New Roman"/>
          <w:sz w:val="21"/>
          <w:szCs w:val="21"/>
        </w:rPr>
        <w:t>溯源</w:t>
      </w:r>
      <w:r>
        <w:rPr>
          <w:rFonts w:ascii="Times New Roman" w:hAnsi="Times New Roman" w:eastAsia="宋体" w:cs="Times New Roman"/>
          <w:sz w:val="21"/>
          <w:szCs w:val="21"/>
        </w:rPr>
        <w:t>证书，</w:t>
      </w:r>
      <w:r>
        <w:rPr>
          <w:rFonts w:hint="eastAsia" w:ascii="Times New Roman" w:hAnsi="Times New Roman" w:eastAsia="宋体" w:cs="Times New Roman"/>
          <w:sz w:val="21"/>
          <w:szCs w:val="21"/>
        </w:rPr>
        <w:t>示波器幅度测量的不确定度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rel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</w:rPr>
        <w:t>1.0%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hint="eastAsia" w:ascii="Times New Roman" w:hAnsi="Times New Roman" w:eastAsia="宋体" w:cs="Times New Roman"/>
          <w:sz w:val="21"/>
          <w:szCs w:val="21"/>
        </w:rPr>
        <w:t>=2，故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</w:rPr>
        <w:t>=0.5%</w:t>
      </w:r>
      <w:r>
        <w:rPr>
          <w:rFonts w:ascii="Times New Roman" w:hAnsi="Times New Roman" w:eastAsia="宋体" w:cs="Times New Roman"/>
          <w:sz w:val="21"/>
          <w:szCs w:val="21"/>
        </w:rPr>
        <w:t xml:space="preserve">   </w:t>
      </w:r>
    </w:p>
    <w:p w14:paraId="30A9F889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（3）仪器重复频率误差引入的不确定度分量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3</w:t>
      </w:r>
    </w:p>
    <w:p w14:paraId="526F381D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    依据</w:t>
      </w:r>
      <w:r>
        <w:rPr>
          <w:rFonts w:hint="eastAsia" w:ascii="Times New Roman" w:hAnsi="Times New Roman" w:eastAsia="宋体" w:cs="Times New Roman"/>
          <w:sz w:val="21"/>
          <w:szCs w:val="21"/>
        </w:rPr>
        <w:t>评定结果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</w:rPr>
        <w:t>仪器重复频率误差引入的不确定度分量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</w:rPr>
        <w:t>=0.3%</w:t>
      </w:r>
    </w:p>
    <w:p w14:paraId="2A0CB8FE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  <w:vertAlign w:val="subscript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</w:t>
      </w:r>
      <w:r>
        <w:rPr>
          <w:rFonts w:ascii="Times New Roman" w:hAnsi="Times New Roman" w:eastAsia="宋体" w:cs="Times New Roman"/>
          <w:sz w:val="21"/>
          <w:szCs w:val="21"/>
        </w:rPr>
        <w:t>4</w:t>
      </w:r>
      <w:r>
        <w:rPr>
          <w:rFonts w:hint="eastAsia" w:ascii="Times New Roman" w:hAnsi="Times New Roman" w:eastAsia="宋体" w:cs="Times New Roman"/>
          <w:sz w:val="21"/>
          <w:szCs w:val="21"/>
        </w:rPr>
        <w:t>）固定衰减器误差引入的不确定度分量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5</w:t>
      </w:r>
    </w:p>
    <w:p w14:paraId="54D6A691">
      <w:pPr>
        <w:adjustRightInd/>
        <w:snapToGrid/>
        <w:spacing w:line="360" w:lineRule="auto"/>
        <w:ind w:firstLine="420" w:firstLineChars="200"/>
        <w:rPr>
          <w:rFonts w:ascii="Times New Roman" w:hAnsi="Times New Roman" w:eastAsia="宋体" w:cs="Times New Roman"/>
          <w:sz w:val="21"/>
          <w:szCs w:val="21"/>
          <w:vertAlign w:val="subscript"/>
        </w:rPr>
      </w:pPr>
      <w:r>
        <w:rPr>
          <w:rFonts w:ascii="Times New Roman" w:hAnsi="Times New Roman" w:eastAsia="宋体" w:cs="Times New Roman"/>
          <w:sz w:val="21"/>
          <w:szCs w:val="21"/>
        </w:rPr>
        <w:t>依据</w:t>
      </w:r>
      <w:r>
        <w:rPr>
          <w:rFonts w:hint="eastAsia" w:ascii="Times New Roman" w:hAnsi="Times New Roman" w:eastAsia="宋体" w:cs="Times New Roman"/>
          <w:sz w:val="21"/>
          <w:szCs w:val="21"/>
        </w:rPr>
        <w:t>溯源</w:t>
      </w:r>
      <w:r>
        <w:rPr>
          <w:rFonts w:ascii="Times New Roman" w:hAnsi="Times New Roman" w:eastAsia="宋体" w:cs="Times New Roman"/>
          <w:sz w:val="21"/>
          <w:szCs w:val="21"/>
        </w:rPr>
        <w:t>证书，</w:t>
      </w:r>
      <w:r>
        <w:rPr>
          <w:rFonts w:hint="eastAsia" w:ascii="Times New Roman" w:hAnsi="Times New Roman" w:eastAsia="宋体" w:cs="Times New Roman"/>
          <w:sz w:val="21"/>
          <w:szCs w:val="21"/>
        </w:rPr>
        <w:t>固定衰减器的不确定度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rel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</w:rPr>
        <w:t>0.</w:t>
      </w:r>
      <w:r>
        <w:rPr>
          <w:rFonts w:ascii="Times New Roman" w:hAnsi="Times New Roman" w:eastAsia="宋体" w:cs="Times New Roman"/>
          <w:sz w:val="21"/>
          <w:szCs w:val="21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</w:rPr>
        <w:t>%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hint="eastAsia" w:ascii="Times New Roman" w:hAnsi="Times New Roman" w:eastAsia="宋体" w:cs="Times New Roman"/>
          <w:sz w:val="21"/>
          <w:szCs w:val="21"/>
        </w:rPr>
        <w:t>=2，故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5</w:t>
      </w:r>
      <w:r>
        <w:rPr>
          <w:rFonts w:hint="eastAsia" w:ascii="Times New Roman" w:hAnsi="Times New Roman" w:eastAsia="宋体" w:cs="Times New Roman"/>
          <w:sz w:val="21"/>
          <w:szCs w:val="21"/>
        </w:rPr>
        <w:t>=0.</w:t>
      </w:r>
      <w:r>
        <w:rPr>
          <w:rFonts w:ascii="Times New Roman" w:hAnsi="Times New Roman" w:eastAsia="宋体" w:cs="Times New Roman"/>
          <w:sz w:val="21"/>
          <w:szCs w:val="21"/>
        </w:rPr>
        <w:t>05</w:t>
      </w:r>
      <w:r>
        <w:rPr>
          <w:rFonts w:hint="eastAsia" w:ascii="Times New Roman" w:hAnsi="Times New Roman" w:eastAsia="宋体" w:cs="Times New Roman"/>
          <w:sz w:val="21"/>
          <w:szCs w:val="21"/>
        </w:rPr>
        <w:t>%</w:t>
      </w:r>
    </w:p>
    <w:p w14:paraId="639414C1">
      <w:pPr>
        <w:adjustRightInd/>
        <w:snapToGrid/>
        <w:spacing w:line="360" w:lineRule="auto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.4 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不确定度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分量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一览表</w:t>
      </w:r>
    </w:p>
    <w:tbl>
      <w:tblPr>
        <w:tblStyle w:val="14"/>
        <w:tblW w:w="8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4763"/>
        <w:gridCol w:w="1161"/>
        <w:gridCol w:w="1096"/>
      </w:tblGrid>
      <w:tr w14:paraId="76DFD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0A74605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不确定度分量</w:t>
            </w:r>
          </w:p>
        </w:tc>
        <w:tc>
          <w:tcPr>
            <w:tcW w:w="4763" w:type="dxa"/>
            <w:noWrap w:val="0"/>
            <w:vAlign w:val="center"/>
          </w:tcPr>
          <w:p w14:paraId="59D49705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不确定度来源</w:t>
            </w:r>
          </w:p>
        </w:tc>
        <w:tc>
          <w:tcPr>
            <w:tcW w:w="1161" w:type="dxa"/>
            <w:noWrap w:val="0"/>
            <w:vAlign w:val="center"/>
          </w:tcPr>
          <w:p w14:paraId="14ED00C3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不确定度</w:t>
            </w:r>
          </w:p>
        </w:tc>
        <w:tc>
          <w:tcPr>
            <w:tcW w:w="1096" w:type="dxa"/>
            <w:noWrap w:val="0"/>
            <w:vAlign w:val="center"/>
          </w:tcPr>
          <w:p w14:paraId="7208B3D5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i</w:t>
            </w:r>
          </w:p>
        </w:tc>
      </w:tr>
      <w:tr w14:paraId="1329B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565A3AA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4763" w:type="dxa"/>
            <w:noWrap w:val="0"/>
            <w:vAlign w:val="center"/>
          </w:tcPr>
          <w:p w14:paraId="7F65853A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测量重复性引入的不确定度分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161" w:type="dxa"/>
            <w:noWrap w:val="0"/>
            <w:vAlign w:val="center"/>
          </w:tcPr>
          <w:p w14:paraId="7957E279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0.2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0%</w:t>
            </w:r>
          </w:p>
        </w:tc>
        <w:tc>
          <w:tcPr>
            <w:tcW w:w="1096" w:type="dxa"/>
            <w:noWrap w:val="0"/>
            <w:vAlign w:val="center"/>
          </w:tcPr>
          <w:p w14:paraId="32E90E24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0.2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22D47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2444D7AA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4763" w:type="dxa"/>
            <w:noWrap w:val="0"/>
            <w:vAlign w:val="center"/>
          </w:tcPr>
          <w:p w14:paraId="0A2F128E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示波器幅度测量准确度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引入的不确定度分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161" w:type="dxa"/>
            <w:noWrap w:val="0"/>
            <w:vAlign w:val="center"/>
          </w:tcPr>
          <w:p w14:paraId="308C4604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=0.5%</w:t>
            </w:r>
          </w:p>
        </w:tc>
        <w:tc>
          <w:tcPr>
            <w:tcW w:w="1096" w:type="dxa"/>
            <w:noWrap w:val="0"/>
            <w:vAlign w:val="center"/>
          </w:tcPr>
          <w:p w14:paraId="38481ABD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0.5%</w:t>
            </w:r>
          </w:p>
        </w:tc>
      </w:tr>
      <w:tr w14:paraId="5CD80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798398B2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4763" w:type="dxa"/>
            <w:noWrap w:val="0"/>
            <w:vAlign w:val="center"/>
          </w:tcPr>
          <w:p w14:paraId="6B839444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仪器重复频率误差引入的不确定度分量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161" w:type="dxa"/>
            <w:noWrap w:val="0"/>
            <w:vAlign w:val="center"/>
          </w:tcPr>
          <w:p w14:paraId="5BADF78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=0.3%</w:t>
            </w:r>
          </w:p>
        </w:tc>
        <w:tc>
          <w:tcPr>
            <w:tcW w:w="1096" w:type="dxa"/>
            <w:noWrap w:val="0"/>
            <w:vAlign w:val="center"/>
          </w:tcPr>
          <w:p w14:paraId="4BFFECD5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0.3%</w:t>
            </w:r>
          </w:p>
        </w:tc>
      </w:tr>
      <w:tr w14:paraId="22299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6445B444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4763" w:type="dxa"/>
            <w:noWrap w:val="0"/>
            <w:vAlign w:val="center"/>
          </w:tcPr>
          <w:p w14:paraId="205FDC36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固定衰减器误差引入的不确定度分量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1161" w:type="dxa"/>
            <w:noWrap w:val="0"/>
            <w:vAlign w:val="center"/>
          </w:tcPr>
          <w:p w14:paraId="00B550DE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=0.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5%</w:t>
            </w:r>
          </w:p>
        </w:tc>
        <w:tc>
          <w:tcPr>
            <w:tcW w:w="1096" w:type="dxa"/>
            <w:noWrap w:val="0"/>
            <w:vAlign w:val="center"/>
          </w:tcPr>
          <w:p w14:paraId="0875D129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0.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5%</w:t>
            </w:r>
          </w:p>
        </w:tc>
      </w:tr>
    </w:tbl>
    <w:p w14:paraId="08D09C12">
      <w:pPr>
        <w:adjustRightInd/>
        <w:snapToGrid/>
        <w:spacing w:line="360" w:lineRule="auto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.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5合成标准不确定度</w:t>
      </w:r>
    </w:p>
    <w:p w14:paraId="3250B056">
      <w:pPr>
        <w:adjustRightInd/>
        <w:snapToGrid/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position w:val="-14"/>
          <w:sz w:val="21"/>
          <w:szCs w:val="21"/>
        </w:rPr>
        <w:object>
          <v:shape id="_x0000_i1100" o:spt="75" type="#_x0000_t75" style="height:23pt;width:174pt;" o:ole="t" filled="f" o:preferrelative="t" stroked="f" coordsize="21600,21600">
            <v:path/>
            <v:fill on="f" alignshape="1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3" ShapeID="_x0000_i1100" DrawAspect="Content" ObjectID="_1468075732" r:id="rId21">
            <o:LockedField>false</o:LockedField>
          </o:OLEObject>
        </w:object>
      </w:r>
    </w:p>
    <w:p w14:paraId="58C11C7B">
      <w:pPr>
        <w:adjustRightInd/>
        <w:snapToGrid/>
        <w:spacing w:line="360" w:lineRule="auto"/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6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扩展不确定度</w:t>
      </w:r>
    </w:p>
    <w:p w14:paraId="057B6FF7">
      <w:pPr>
        <w:adjustRightInd/>
        <w:snapToGrid/>
        <w:spacing w:line="360" w:lineRule="auto"/>
        <w:ind w:firstLine="420" w:firstLineChars="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取包含因子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  <w:lang w:val="en-US" w:eastAsia="zh-CN"/>
        </w:rPr>
        <w:t>k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=2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，</w:t>
      </w:r>
    </w:p>
    <w:p w14:paraId="7B15E555">
      <w:pPr>
        <w:adjustRightInd/>
        <w:snapToGrid/>
        <w:spacing w:line="360" w:lineRule="auto"/>
        <w:ind w:firstLine="420" w:firstLineChars="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                    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rel</w:t>
      </w:r>
      <w:r>
        <w:rPr>
          <w:rFonts w:ascii="Times New Roman" w:hAnsi="Times New Roman" w:eastAsia="宋体" w:cs="Times New Roman"/>
          <w:sz w:val="21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ku</w:t>
      </w:r>
      <w:r>
        <w:rPr>
          <w:rFonts w:ascii="Times New Roman" w:hAnsi="Times New Roman" w:eastAsia="宋体" w:cs="Times New Roman"/>
          <w:sz w:val="21"/>
          <w:szCs w:val="21"/>
        </w:rPr>
        <w:t>=2×</w:t>
      </w:r>
      <w:r>
        <w:rPr>
          <w:rFonts w:hint="eastAsia" w:ascii="Times New Roman" w:hAnsi="Times New Roman" w:eastAsia="宋体" w:cs="Times New Roman"/>
          <w:sz w:val="21"/>
          <w:szCs w:val="21"/>
        </w:rPr>
        <w:t>0.6</w:t>
      </w:r>
      <w:r>
        <w:rPr>
          <w:rFonts w:ascii="Times New Roman" w:hAnsi="Times New Roman" w:eastAsia="宋体" w:cs="Times New Roman"/>
          <w:sz w:val="21"/>
          <w:szCs w:val="21"/>
        </w:rPr>
        <w:t>2%=</w:t>
      </w:r>
      <w:r>
        <w:rPr>
          <w:rFonts w:hint="eastAsia" w:ascii="Times New Roman" w:hAnsi="Times New Roman" w:eastAsia="宋体" w:cs="Times New Roman"/>
          <w:sz w:val="21"/>
          <w:szCs w:val="21"/>
        </w:rPr>
        <w:t>1.</w:t>
      </w:r>
      <w:r>
        <w:rPr>
          <w:rFonts w:ascii="Times New Roman" w:hAnsi="Times New Roman" w:eastAsia="宋体" w:cs="Times New Roman"/>
          <w:sz w:val="21"/>
          <w:szCs w:val="21"/>
        </w:rPr>
        <w:t>24%</w:t>
      </w:r>
    </w:p>
    <w:p w14:paraId="1B63E8C8">
      <w:pPr>
        <w:adjustRightInd/>
        <w:snapToGrid/>
        <w:spacing w:line="360" w:lineRule="auto"/>
        <w:ind w:firstLine="420" w:firstLineChars="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发射脉冲电压的</w:t>
      </w:r>
      <w:r>
        <w:rPr>
          <w:rFonts w:ascii="Times New Roman" w:hAnsi="Times New Roman" w:eastAsia="宋体" w:cs="Times New Roman"/>
          <w:sz w:val="21"/>
          <w:szCs w:val="21"/>
        </w:rPr>
        <w:t>测量不确定度</w:t>
      </w:r>
      <w:r>
        <w:rPr>
          <w:rFonts w:hint="eastAsia" w:ascii="Times New Roman" w:hAnsi="Times New Roman" w:eastAsia="宋体" w:cs="Times New Roman"/>
          <w:sz w:val="21"/>
          <w:szCs w:val="21"/>
        </w:rPr>
        <w:t>为</w:t>
      </w:r>
    </w:p>
    <w:p w14:paraId="7250E1F6">
      <w:pPr>
        <w:adjustRightInd/>
        <w:snapToGrid/>
        <w:spacing w:line="360" w:lineRule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                        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rel</w:t>
      </w:r>
      <w:r>
        <w:rPr>
          <w:rFonts w:ascii="Times New Roman" w:hAnsi="Times New Roman" w:eastAsia="宋体" w:cs="Times New Roman"/>
          <w:sz w:val="21"/>
          <w:szCs w:val="21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</w:rPr>
        <w:t>1.</w:t>
      </w:r>
      <w:r>
        <w:rPr>
          <w:rFonts w:ascii="Times New Roman" w:hAnsi="Times New Roman" w:eastAsia="宋体" w:cs="Times New Roman"/>
          <w:sz w:val="21"/>
          <w:szCs w:val="21"/>
        </w:rPr>
        <w:t xml:space="preserve">3%    </w:t>
      </w:r>
      <w:r>
        <w:rPr>
          <w:rFonts w:hint="eastAsia" w:ascii="Times New Roman" w:hAnsi="Times New Roman" w:eastAsia="宋体" w:cs="Times New Roman"/>
          <w:sz w:val="21"/>
          <w:szCs w:val="21"/>
        </w:rPr>
        <w:t>（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ascii="Times New Roman" w:hAnsi="Times New Roman" w:eastAsia="宋体" w:cs="Times New Roman"/>
          <w:sz w:val="21"/>
          <w:szCs w:val="21"/>
        </w:rPr>
        <w:t>=2</w:t>
      </w:r>
      <w:r>
        <w:rPr>
          <w:rFonts w:hint="eastAsia" w:ascii="Times New Roman" w:hAnsi="Times New Roman" w:eastAsia="宋体" w:cs="Times New Roman"/>
          <w:sz w:val="21"/>
          <w:szCs w:val="21"/>
        </w:rPr>
        <w:t>）</w:t>
      </w:r>
    </w:p>
    <w:p w14:paraId="47E6F8A7">
      <w:pPr>
        <w:adjustRightInd/>
        <w:snapToGrid/>
        <w:spacing w:line="360" w:lineRule="auto"/>
        <w:rPr>
          <w:rFonts w:hint="eastAsia" w:ascii="Times New Roman" w:hAnsi="Times New Roman" w:eastAsia="宋体" w:cs="Times New Roman"/>
          <w:sz w:val="21"/>
          <w:szCs w:val="21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140DED1F"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eastAsia" w:eastAsia="黑体"/>
          <w:b/>
          <w:color w:val="000000"/>
          <w:sz w:val="28"/>
          <w:szCs w:val="28"/>
          <w:lang w:val="zh-CN"/>
        </w:rPr>
      </w:pPr>
      <w:r>
        <w:rPr>
          <w:rFonts w:hint="eastAsia" w:eastAsia="黑体"/>
          <w:b/>
          <w:color w:val="000000"/>
          <w:sz w:val="28"/>
          <w:szCs w:val="28"/>
          <w:lang w:val="en-US" w:eastAsia="zh-CN"/>
        </w:rPr>
        <w:t>等效输入噪声</w:t>
      </w:r>
      <w:r>
        <w:rPr>
          <w:rFonts w:hint="eastAsia" w:eastAsia="黑体"/>
          <w:b/>
          <w:color w:val="000000"/>
          <w:sz w:val="28"/>
          <w:szCs w:val="28"/>
          <w:lang w:val="zh-CN"/>
        </w:rPr>
        <w:t>测量不确定度评定示例</w:t>
      </w:r>
    </w:p>
    <w:p w14:paraId="2BDF7447">
      <w:pPr>
        <w:adjustRightInd/>
        <w:snapToGrid/>
        <w:spacing w:line="360" w:lineRule="auto"/>
        <w:rPr>
          <w:rFonts w:hint="eastAsia" w:ascii="Times New Roman" w:hAnsi="Times New Roman" w:eastAsia="宋体" w:cs="Times New Roman"/>
          <w:b/>
          <w:bCs w:val="0"/>
          <w:sz w:val="21"/>
          <w:szCs w:val="21"/>
        </w:rPr>
      </w:pPr>
      <w:r>
        <w:rPr>
          <w:rFonts w:hint="eastAsia" w:cs="Times New Roman"/>
          <w:b/>
          <w:bCs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1"/>
          <w:lang w:val="en-US" w:eastAsia="zh-CN"/>
        </w:rPr>
        <w:t xml:space="preserve">.1 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1"/>
        </w:rPr>
        <w:t>测量</w:t>
      </w:r>
      <w:r>
        <w:rPr>
          <w:rFonts w:ascii="Times New Roman" w:hAnsi="Times New Roman" w:eastAsia="宋体" w:cs="Times New Roman"/>
          <w:b/>
          <w:bCs w:val="0"/>
          <w:sz w:val="21"/>
          <w:szCs w:val="21"/>
        </w:rPr>
        <w:t>模型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1"/>
        </w:rPr>
        <w:t>：</w:t>
      </w:r>
    </w:p>
    <w:p w14:paraId="5515D2BB">
      <w:pPr>
        <w:adjustRightInd/>
        <w:snapToGrid/>
        <w:spacing w:line="360" w:lineRule="auto"/>
        <w:jc w:val="center"/>
        <w:rPr>
          <w:rFonts w:ascii="Times New Roman" w:hAnsi="Times New Roman" w:eastAsia="宋体" w:cs="Times New Roman"/>
          <w:sz w:val="28"/>
          <w:szCs w:val="21"/>
        </w:rPr>
      </w:pPr>
      <w:r>
        <w:rPr>
          <w:rFonts w:ascii="Times New Roman" w:hAnsi="Times New Roman" w:eastAsia="宋体" w:cs="Times New Roman"/>
          <w:position w:val="-44"/>
          <w:sz w:val="28"/>
          <w:szCs w:val="21"/>
        </w:rPr>
        <w:object>
          <v:shape id="_x0000_i1101" o:spt="75" type="#_x0000_t75" style="height:41pt;width:71.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3" ShapeID="_x0000_i1101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24"/>
          <w:sz w:val="28"/>
          <w:szCs w:val="21"/>
        </w:rPr>
        <w:t xml:space="preserve">     </w:t>
      </w:r>
      <w:r>
        <w:rPr>
          <w:rFonts w:ascii="Times New Roman" w:hAnsi="Times New Roman" w:eastAsia="宋体" w:cs="Times New Roman"/>
          <w:sz w:val="28"/>
          <w:szCs w:val="21"/>
        </w:rPr>
        <w:t xml:space="preserve">     </w:t>
      </w:r>
      <w:r>
        <w:rPr>
          <w:rFonts w:ascii="Times New Roman" w:hAnsi="Times New Roman" w:eastAsia="宋体" w:cs="Times New Roman"/>
          <w:position w:val="-34"/>
          <w:sz w:val="28"/>
          <w:szCs w:val="21"/>
        </w:rPr>
        <w:object>
          <v:shape id="_x0000_i1102" o:spt="75" type="#_x0000_t75" style="height:36pt;width:74.5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3" ShapeID="_x0000_i1102" DrawAspect="Content" ObjectID="_1468075734" r:id="rId25">
            <o:LockedField>false</o:LockedField>
          </o:OLEObject>
        </w:object>
      </w:r>
    </w:p>
    <w:p w14:paraId="5F736B80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position w:val="-12"/>
          <w:sz w:val="21"/>
          <w:szCs w:val="21"/>
        </w:rPr>
        <w:object>
          <v:shape id="_x0000_i1103" o:spt="75" type="#_x0000_t75" style="height:18pt;width:15.4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103" DrawAspect="Content" ObjectID="_1468075735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</w:rPr>
        <w:t>——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输入信号电压峰峰值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</w:rPr>
        <w:t>V</w:t>
      </w:r>
      <w:r>
        <w:rPr>
          <w:rFonts w:ascii="Times New Roman" w:hAnsi="Times New Roman" w:eastAsia="宋体" w:cs="Times New Roman"/>
          <w:sz w:val="21"/>
          <w:szCs w:val="21"/>
        </w:rPr>
        <w:t>；</w:t>
      </w:r>
    </w:p>
    <w:p w14:paraId="62D24CDF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position w:val="-12"/>
          <w:sz w:val="21"/>
          <w:szCs w:val="21"/>
        </w:rPr>
        <w:object>
          <v:shape id="_x0000_i1104" o:spt="75" type="#_x0000_t75" style="height:18pt;width:18.5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3" ShapeID="_x0000_i1104" DrawAspect="Content" ObjectID="_1468075736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</w:rPr>
        <w:t>——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等效输入噪声电压值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</w:rPr>
        <w:t>V</w:t>
      </w:r>
      <w:r>
        <w:rPr>
          <w:rFonts w:ascii="Times New Roman" w:hAnsi="Times New Roman" w:eastAsia="宋体" w:cs="Times New Roman"/>
          <w:sz w:val="21"/>
          <w:szCs w:val="21"/>
        </w:rPr>
        <w:t>；</w:t>
      </w:r>
    </w:p>
    <w:p w14:paraId="4F289519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position w:val="-6"/>
          <w:sz w:val="21"/>
          <w:szCs w:val="21"/>
        </w:rPr>
        <w:object>
          <v:shape id="_x0000_i1105" o:spt="75" type="#_x0000_t75" style="height:13.95pt;width:11.3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105" DrawAspect="Content" ObjectID="_1468075737" r:id="rId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12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——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标准衰减器衰减量，dB</w:t>
      </w:r>
    </w:p>
    <w:p w14:paraId="0AC7D6F3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position w:val="-12"/>
          <w:sz w:val="21"/>
          <w:szCs w:val="21"/>
        </w:rPr>
        <w:object>
          <v:shape id="_x0000_i1106" o:spt="75" type="#_x0000_t75" style="height:18pt;width:15.4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106" DrawAspect="Content" ObjectID="_1468075738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</w:rPr>
        <w:t>——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每平方根带宽的噪声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ascii="Times New Roman" w:hAnsi="Times New Roman" w:eastAsia="宋体" w:cs="Times New Roman"/>
          <w:position w:val="-6"/>
          <w:sz w:val="21"/>
          <w:szCs w:val="21"/>
        </w:rPr>
        <w:object>
          <v:shape id="_x0000_i1107" o:spt="75" type="#_x0000_t75" style="height:17pt;width:42.95pt;" o:ole="t" filled="f" o:preferrelative="t" stroked="f" coordsize="21600,21600">
            <v:path/>
            <v:fill on="f" alignshape="1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107" DrawAspect="Content" ObjectID="_1468075739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1"/>
        </w:rPr>
        <w:t>；</w:t>
      </w:r>
    </w:p>
    <w:p w14:paraId="486C874A">
      <w:pPr>
        <w:adjustRightInd/>
        <w:snapToGrid/>
        <w:spacing w:line="360" w:lineRule="auto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2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方差和灵敏系数：</w:t>
      </w:r>
    </w:p>
    <w:p w14:paraId="3AB26776">
      <w:pPr>
        <w:adjustRightInd/>
        <w:snapToGrid/>
        <w:spacing w:line="360" w:lineRule="auto"/>
        <w:ind w:firstLine="420" w:firstLineChars="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由于以上各量互不相关，灵敏系数均为1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。</w:t>
      </w:r>
      <w:r>
        <w:rPr>
          <w:rFonts w:ascii="Times New Roman" w:hAnsi="Times New Roman" w:eastAsia="宋体" w:cs="Times New Roman"/>
          <w:sz w:val="21"/>
          <w:szCs w:val="21"/>
        </w:rPr>
        <w:t>故其合成方差为</w:t>
      </w:r>
    </w:p>
    <w:p w14:paraId="187D736C">
      <w:pPr>
        <w:adjustRightInd/>
        <w:snapToGrid/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position w:val="-12"/>
          <w:sz w:val="21"/>
          <w:szCs w:val="21"/>
        </w:rPr>
        <w:object>
          <v:shape id="_x0000_i1108" o:spt="75" type="#_x0000_t75" style="height:19pt;width:158.7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108" DrawAspect="Content" ObjectID="_1468075740" r:id="rId37">
            <o:LockedField>false</o:LockedField>
          </o:OLEObject>
        </w:object>
      </w:r>
    </w:p>
    <w:p w14:paraId="2D459AF9">
      <w:pPr>
        <w:adjustRightInd/>
        <w:snapToGrid/>
        <w:spacing w:line="360" w:lineRule="auto"/>
        <w:rPr>
          <w:rFonts w:hint="eastAsia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.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3不确定度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分量分析</w:t>
      </w:r>
    </w:p>
    <w:p w14:paraId="5B9E964F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  <w:vertAlign w:val="subscript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（1）电压</w:t>
      </w:r>
      <w:r>
        <w:rPr>
          <w:rFonts w:ascii="Times New Roman" w:hAnsi="Times New Roman" w:eastAsia="宋体" w:cs="Times New Roman"/>
          <w:sz w:val="21"/>
          <w:szCs w:val="21"/>
        </w:rPr>
        <w:t>测量重复性引入的不确定度分</w:t>
      </w:r>
      <w:r>
        <w:rPr>
          <w:rFonts w:hint="eastAsia" w:ascii="Times New Roman" w:hAnsi="Times New Roman" w:eastAsia="宋体" w:cs="Times New Roman"/>
          <w:sz w:val="21"/>
          <w:szCs w:val="21"/>
        </w:rPr>
        <w:t>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1</w:t>
      </w:r>
    </w:p>
    <w:p w14:paraId="02B75902">
      <w:pPr>
        <w:adjustRightInd/>
        <w:snapToGrid/>
        <w:spacing w:line="240" w:lineRule="auto"/>
        <w:ind w:firstLine="420" w:firstLineChars="200"/>
        <w:rPr>
          <w:rFonts w:ascii="Times New Roman" w:hAnsi="Times New Roman" w:eastAsia="宋体" w:cs="Times New Roman"/>
          <w:sz w:val="21"/>
          <w:szCs w:val="21"/>
        </w:rPr>
      </w:pPr>
      <w:bookmarkStart w:id="17" w:name="OLE_LINK56"/>
      <w:r>
        <w:rPr>
          <w:rFonts w:ascii="Times New Roman" w:hAnsi="Times New Roman" w:eastAsia="宋体" w:cs="Times New Roman"/>
          <w:sz w:val="21"/>
          <w:szCs w:val="21"/>
        </w:rPr>
        <w:t>选取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超声显微镜</w:t>
      </w:r>
      <w:r>
        <w:rPr>
          <w:rFonts w:hint="eastAsia" w:ascii="Times New Roman" w:hAnsi="Times New Roman" w:eastAsia="宋体" w:cs="Times New Roman"/>
          <w:sz w:val="21"/>
          <w:szCs w:val="21"/>
        </w:rPr>
        <w:t>在频带宽度在（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5</w:t>
      </w:r>
      <w:r>
        <w:rPr>
          <w:rFonts w:ascii="Times New Roman" w:hAnsi="Times New Roman" w:eastAsia="宋体" w:cs="Times New Roman"/>
          <w:sz w:val="21"/>
          <w:szCs w:val="21"/>
        </w:rPr>
        <w:t>~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300</w:t>
      </w:r>
      <w:r>
        <w:rPr>
          <w:rFonts w:hint="eastAsia" w:ascii="Times New Roman" w:hAnsi="Times New Roman" w:eastAsia="宋体" w:cs="Times New Roman"/>
          <w:sz w:val="21"/>
          <w:szCs w:val="21"/>
        </w:rPr>
        <w:t>）MHz下，</w:t>
      </w:r>
      <w:r>
        <w:rPr>
          <w:rFonts w:ascii="Times New Roman" w:hAnsi="Times New Roman" w:eastAsia="宋体" w:cs="Times New Roman"/>
          <w:sz w:val="21"/>
          <w:szCs w:val="21"/>
        </w:rPr>
        <w:t>连续测量</w:t>
      </w:r>
      <w:r>
        <w:rPr>
          <w:rFonts w:hint="eastAsia" w:ascii="Times New Roman" w:hAnsi="Times New Roman" w:eastAsia="宋体" w:cs="Times New Roman"/>
          <w:sz w:val="21"/>
          <w:szCs w:val="21"/>
        </w:rPr>
        <w:t>输入信号电压</w:t>
      </w:r>
      <w:r>
        <w:rPr>
          <w:rFonts w:ascii="Times New Roman" w:hAnsi="Times New Roman" w:eastAsia="宋体" w:cs="Times New Roman"/>
          <w:sz w:val="21"/>
          <w:szCs w:val="21"/>
        </w:rPr>
        <w:t>10次</w:t>
      </w:r>
      <w:r>
        <w:rPr>
          <w:rFonts w:hint="eastAsia" w:ascii="Times New Roman" w:hAnsi="Times New Roman" w:eastAsia="宋体" w:cs="Times New Roman"/>
          <w:sz w:val="21"/>
          <w:szCs w:val="21"/>
        </w:rPr>
        <w:t>（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sz w:val="21"/>
          <w:szCs w:val="21"/>
        </w:rPr>
        <w:t>V）：</w:t>
      </w:r>
    </w:p>
    <w:p w14:paraId="17FF9168">
      <w:pPr>
        <w:adjustRightInd/>
        <w:snapToGrid/>
        <w:spacing w:line="240" w:lineRule="auto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</w:rPr>
      </w:pPr>
      <w:r>
        <w:rPr>
          <w:rFonts w:ascii="Times New Roman" w:hAnsi="Times New Roman" w:eastAsia="宋体" w:cs="Times New Roman"/>
          <w:color w:val="000000"/>
          <w:sz w:val="21"/>
          <w:szCs w:val="21"/>
        </w:rPr>
        <w:t>323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325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326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、317、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326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329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323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325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3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0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、</w: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328</w:t>
      </w:r>
    </w:p>
    <w:p w14:paraId="64EE5BE4">
      <w:pPr>
        <w:adjustRightInd/>
        <w:snapToGrid/>
        <w:spacing w:line="240" w:lineRule="auto"/>
        <w:ind w:firstLine="560" w:firstLineChars="200"/>
        <w:rPr>
          <w:rFonts w:ascii="Times New Roman" w:hAnsi="Times New Roman" w:eastAsia="宋体" w:cs="Times New Roman"/>
          <w:color w:val="000000"/>
          <w:sz w:val="21"/>
          <w:szCs w:val="21"/>
        </w:rPr>
      </w:pPr>
      <w:bookmarkStart w:id="18" w:name="OLE_LINK55"/>
      <w:r>
        <w:rPr>
          <w:rFonts w:ascii="Times New Roman" w:hAnsi="Times New Roman" w:eastAsia="楷体" w:cs="楷体_GB2312"/>
          <w:position w:val="-22"/>
          <w:sz w:val="28"/>
          <w:szCs w:val="28"/>
        </w:rPr>
        <w:object>
          <v:shape id="_x0000_i1109" o:spt="75" type="#_x0000_t75" style="height:47.55pt;width:81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DSMT4" ShapeID="_x0000_i1109" DrawAspect="Content" ObjectID="_1468075741" r:id="rId39">
            <o:LockedField>false</o:LockedField>
          </o:OLEObject>
        </w:object>
      </w:r>
      <w:bookmarkEnd w:id="18"/>
      <w:r>
        <w:rPr>
          <w:rFonts w:ascii="Times New Roman" w:hAnsi="Times New Roman" w:eastAsia="宋体" w:cs="Times New Roman"/>
          <w:color w:val="000000"/>
          <w:sz w:val="21"/>
          <w:szCs w:val="21"/>
        </w:rPr>
        <w:t xml:space="preserve">V </w:t>
      </w:r>
      <w:r>
        <w:rPr>
          <w:rFonts w:ascii="Times New Roman" w:hAnsi="Times New Roman" w:eastAsia="宋体" w:cs="Times New Roman"/>
          <w:sz w:val="21"/>
          <w:szCs w:val="21"/>
        </w:rPr>
        <w:t xml:space="preserve">    </w:t>
      </w:r>
      <w:r>
        <w:rPr>
          <w:rFonts w:ascii="Times New Roman" w:hAnsi="Times New Roman" w:eastAsia="楷体" w:cs="楷体_GB2312"/>
          <w:position w:val="-24"/>
          <w:sz w:val="28"/>
          <w:szCs w:val="28"/>
        </w:rPr>
        <w:object>
          <v:shape id="_x0000_i1110" o:spt="75" type="#_x0000_t75" style="height:51.9pt;width:112.9pt;" o:ole="t" filled="f" o:preferrelative="t" stroked="f" coordsize="21600,21600">
            <v:path/>
            <v:fill on="f" alignshape="1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DSMT4" ShapeID="_x0000_i1110" DrawAspect="Content" ObjectID="_1468075742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1"/>
          <w:szCs w:val="21"/>
        </w:rPr>
        <w:t>V</w:t>
      </w:r>
    </w:p>
    <w:p w14:paraId="1436CF44">
      <w:pPr>
        <w:tabs>
          <w:tab w:val="left" w:pos="720"/>
        </w:tabs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则</w:t>
      </w:r>
      <w:r>
        <w:rPr>
          <w:rFonts w:ascii="Times New Roman" w:hAnsi="Times New Roman" w:eastAsia="楷体" w:cs="楷体_GB2312"/>
          <w:position w:val="-22"/>
          <w:sz w:val="28"/>
          <w:szCs w:val="28"/>
        </w:rPr>
        <w:object>
          <v:shape id="_x0000_i1111" o:spt="75" type="#_x0000_t75" style="height:31.3pt;width:87.9pt;" o:ole="t" filled="f" o:preferrelative="t" stroked="f" coordsize="21600,21600">
            <v:path/>
            <v:fill on="f" alignshape="1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DSMT4" ShapeID="_x0000_i1111" DrawAspect="Content" ObjectID="_1468075743" r:id="rId43">
            <o:LockedField>false</o:LockedField>
          </o:OLEObject>
        </w:object>
      </w:r>
    </w:p>
    <w:bookmarkEnd w:id="17"/>
    <w:p w14:paraId="06BD51E1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（2）信号发生器频率准确度</w:t>
      </w:r>
      <w:r>
        <w:rPr>
          <w:rFonts w:ascii="Times New Roman" w:hAnsi="Times New Roman" w:eastAsia="宋体" w:cs="Times New Roman"/>
          <w:sz w:val="21"/>
          <w:szCs w:val="21"/>
        </w:rPr>
        <w:t>引入的不确定度分</w:t>
      </w:r>
      <w:r>
        <w:rPr>
          <w:rFonts w:hint="eastAsia" w:ascii="Times New Roman" w:hAnsi="Times New Roman" w:eastAsia="宋体" w:cs="Times New Roman"/>
          <w:sz w:val="21"/>
          <w:szCs w:val="21"/>
        </w:rPr>
        <w:t>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2</w:t>
      </w:r>
    </w:p>
    <w:p w14:paraId="2B86E1AF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    依据</w:t>
      </w:r>
      <w:r>
        <w:rPr>
          <w:rFonts w:hint="eastAsia" w:ascii="Times New Roman" w:hAnsi="Times New Roman" w:eastAsia="宋体" w:cs="Times New Roman"/>
          <w:sz w:val="21"/>
          <w:szCs w:val="21"/>
        </w:rPr>
        <w:t>溯源</w:t>
      </w:r>
      <w:r>
        <w:rPr>
          <w:rFonts w:ascii="Times New Roman" w:hAnsi="Times New Roman" w:eastAsia="宋体" w:cs="Times New Roman"/>
          <w:sz w:val="21"/>
          <w:szCs w:val="21"/>
        </w:rPr>
        <w:t>证书，</w:t>
      </w:r>
      <w:r>
        <w:rPr>
          <w:rFonts w:hint="eastAsia" w:ascii="Times New Roman" w:hAnsi="Times New Roman" w:eastAsia="宋体" w:cs="Times New Roman"/>
          <w:sz w:val="21"/>
          <w:szCs w:val="21"/>
        </w:rPr>
        <w:t>频率准确度不确定度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rel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</w:rPr>
        <w:t>1</w:t>
      </w:r>
      <w:r>
        <w:rPr>
          <w:rFonts w:ascii="Times New Roman" w:hAnsi="Times New Roman" w:eastAsia="宋体" w:cs="Times New Roman"/>
          <w:sz w:val="21"/>
          <w:szCs w:val="21"/>
        </w:rPr>
        <w:t>×10</w:t>
      </w:r>
      <w:r>
        <w:rPr>
          <w:rFonts w:ascii="Times New Roman" w:hAnsi="Times New Roman" w:eastAsia="宋体" w:cs="Times New Roman"/>
          <w:sz w:val="21"/>
          <w:szCs w:val="21"/>
          <w:vertAlign w:val="superscript"/>
        </w:rPr>
        <w:t>-</w:t>
      </w:r>
      <w:r>
        <w:rPr>
          <w:rFonts w:hint="eastAsia" w:ascii="Times New Roman" w:hAnsi="Times New Roman" w:eastAsia="宋体" w:cs="Times New Roman"/>
          <w:sz w:val="21"/>
          <w:szCs w:val="21"/>
          <w:vertAlign w:val="superscript"/>
        </w:rPr>
        <w:t>6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hint="eastAsia" w:ascii="Times New Roman" w:hAnsi="Times New Roman" w:eastAsia="宋体" w:cs="Times New Roman"/>
          <w:sz w:val="21"/>
          <w:szCs w:val="21"/>
        </w:rPr>
        <w:t>=2，故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</w:rPr>
        <w:t>=5</w:t>
      </w:r>
      <w:r>
        <w:rPr>
          <w:rFonts w:ascii="Times New Roman" w:hAnsi="Times New Roman" w:eastAsia="宋体" w:cs="Times New Roman"/>
          <w:sz w:val="21"/>
          <w:szCs w:val="21"/>
        </w:rPr>
        <w:t>×10</w:t>
      </w:r>
      <w:r>
        <w:rPr>
          <w:rFonts w:ascii="Times New Roman" w:hAnsi="Times New Roman" w:eastAsia="宋体" w:cs="Times New Roman"/>
          <w:sz w:val="21"/>
          <w:szCs w:val="21"/>
          <w:vertAlign w:val="superscript"/>
        </w:rPr>
        <w:t>-</w:t>
      </w:r>
      <w:r>
        <w:rPr>
          <w:rFonts w:hint="eastAsia" w:ascii="Times New Roman" w:hAnsi="Times New Roman" w:eastAsia="宋体" w:cs="Times New Roman"/>
          <w:sz w:val="21"/>
          <w:szCs w:val="21"/>
          <w:vertAlign w:val="superscript"/>
        </w:rPr>
        <w:t>7</w:t>
      </w:r>
      <w:r>
        <w:rPr>
          <w:rFonts w:ascii="Times New Roman" w:hAnsi="Times New Roman" w:eastAsia="宋体" w:cs="Times New Roman"/>
          <w:sz w:val="21"/>
          <w:szCs w:val="21"/>
        </w:rPr>
        <w:t xml:space="preserve">  </w:t>
      </w:r>
    </w:p>
    <w:p w14:paraId="74891FCC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（3）信号发生器幅度准确度</w:t>
      </w:r>
      <w:r>
        <w:rPr>
          <w:rFonts w:ascii="Times New Roman" w:hAnsi="Times New Roman" w:eastAsia="宋体" w:cs="Times New Roman"/>
          <w:sz w:val="21"/>
          <w:szCs w:val="21"/>
        </w:rPr>
        <w:t>引入的不确定度分</w:t>
      </w:r>
      <w:r>
        <w:rPr>
          <w:rFonts w:hint="eastAsia" w:ascii="Times New Roman" w:hAnsi="Times New Roman" w:eastAsia="宋体" w:cs="Times New Roman"/>
          <w:sz w:val="21"/>
          <w:szCs w:val="21"/>
        </w:rPr>
        <w:t>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3</w:t>
      </w:r>
    </w:p>
    <w:p w14:paraId="0A5B76A9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    依据</w:t>
      </w:r>
      <w:r>
        <w:rPr>
          <w:rFonts w:hint="eastAsia" w:ascii="Times New Roman" w:hAnsi="Times New Roman" w:eastAsia="宋体" w:cs="Times New Roman"/>
          <w:sz w:val="21"/>
          <w:szCs w:val="21"/>
        </w:rPr>
        <w:t>溯源</w:t>
      </w:r>
      <w:r>
        <w:rPr>
          <w:rFonts w:ascii="Times New Roman" w:hAnsi="Times New Roman" w:eastAsia="宋体" w:cs="Times New Roman"/>
          <w:sz w:val="21"/>
          <w:szCs w:val="21"/>
        </w:rPr>
        <w:t>证书，</w:t>
      </w:r>
      <w:r>
        <w:rPr>
          <w:rFonts w:hint="eastAsia" w:ascii="Times New Roman" w:hAnsi="Times New Roman" w:eastAsia="宋体" w:cs="Times New Roman"/>
          <w:sz w:val="21"/>
          <w:szCs w:val="21"/>
        </w:rPr>
        <w:t>信号发生器幅度准确度不确定度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rel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</w:rPr>
        <w:t>1%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hint="eastAsia" w:ascii="Times New Roman" w:hAnsi="Times New Roman" w:eastAsia="宋体" w:cs="Times New Roman"/>
          <w:sz w:val="21"/>
          <w:szCs w:val="21"/>
        </w:rPr>
        <w:t>=2，故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</w:rPr>
        <w:t>=0.5%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</w:p>
    <w:p w14:paraId="0984D595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（4）示波器幅度测量准确度</w:t>
      </w:r>
      <w:r>
        <w:rPr>
          <w:rFonts w:ascii="Times New Roman" w:hAnsi="Times New Roman" w:eastAsia="宋体" w:cs="Times New Roman"/>
          <w:sz w:val="21"/>
          <w:szCs w:val="21"/>
        </w:rPr>
        <w:t>引入的不确定度分</w:t>
      </w:r>
      <w:r>
        <w:rPr>
          <w:rFonts w:hint="eastAsia" w:ascii="Times New Roman" w:hAnsi="Times New Roman" w:eastAsia="宋体" w:cs="Times New Roman"/>
          <w:sz w:val="21"/>
          <w:szCs w:val="21"/>
        </w:rPr>
        <w:t>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4</w:t>
      </w:r>
    </w:p>
    <w:p w14:paraId="1078EDC9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     依据</w:t>
      </w:r>
      <w:r>
        <w:rPr>
          <w:rFonts w:hint="eastAsia" w:ascii="Times New Roman" w:hAnsi="Times New Roman" w:eastAsia="宋体" w:cs="Times New Roman"/>
          <w:sz w:val="21"/>
          <w:szCs w:val="21"/>
        </w:rPr>
        <w:t>溯源</w:t>
      </w:r>
      <w:r>
        <w:rPr>
          <w:rFonts w:ascii="Times New Roman" w:hAnsi="Times New Roman" w:eastAsia="宋体" w:cs="Times New Roman"/>
          <w:sz w:val="21"/>
          <w:szCs w:val="21"/>
        </w:rPr>
        <w:t>证书，</w:t>
      </w:r>
      <w:r>
        <w:rPr>
          <w:rFonts w:hint="eastAsia" w:ascii="Times New Roman" w:hAnsi="Times New Roman" w:eastAsia="宋体" w:cs="Times New Roman"/>
          <w:sz w:val="21"/>
          <w:szCs w:val="21"/>
        </w:rPr>
        <w:t>示波器幅度准确度测量的不确定度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rel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</w:rPr>
        <w:t>1.0%</w:t>
      </w:r>
      <w:r>
        <w:rPr>
          <w:rFonts w:ascii="Times New Roman" w:hAnsi="Times New Roman" w:eastAsia="宋体" w:cs="Times New Roman"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hint="eastAsia" w:ascii="Times New Roman" w:hAnsi="Times New Roman" w:eastAsia="宋体" w:cs="Times New Roman"/>
          <w:sz w:val="21"/>
          <w:szCs w:val="21"/>
        </w:rPr>
        <w:t>=2，故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sz w:val="21"/>
          <w:szCs w:val="21"/>
        </w:rPr>
        <w:t>=0.5%</w:t>
      </w:r>
    </w:p>
    <w:p w14:paraId="216432DC">
      <w:pPr>
        <w:tabs>
          <w:tab w:val="left" w:pos="1571"/>
        </w:tabs>
        <w:adjustRightInd/>
        <w:snapToGrid/>
        <w:spacing w:line="360" w:lineRule="auto"/>
        <w:textAlignment w:val="top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（5）标准衰减器误差引入的不确定度分量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5</w:t>
      </w:r>
    </w:p>
    <w:p w14:paraId="5CD97D5B">
      <w:pPr>
        <w:tabs>
          <w:tab w:val="left" w:pos="1571"/>
        </w:tabs>
        <w:adjustRightInd/>
        <w:snapToGrid/>
        <w:spacing w:line="360" w:lineRule="auto"/>
        <w:ind w:firstLine="420" w:firstLineChars="200"/>
        <w:textAlignment w:val="top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</w:rPr>
        <w:t>标准器衰减误差最大为</w:t>
      </w:r>
      <w:r>
        <w:rPr>
          <w:rFonts w:hint="eastAsia" w:ascii="Times New Roman" w:hAnsi="Times New Roman" w:eastAsia="宋体" w:cs="Times New Roman"/>
          <w:bCs/>
          <w:sz w:val="21"/>
          <w:szCs w:val="21"/>
        </w:rPr>
        <w:t>±</w:t>
      </w:r>
      <w:r>
        <w:rPr>
          <w:rFonts w:ascii="Times New Roman" w:hAnsi="Times New Roman" w:eastAsia="宋体" w:cs="Times New Roman"/>
          <w:sz w:val="21"/>
          <w:szCs w:val="21"/>
        </w:rPr>
        <w:t>（0.5%A+0.02）dB</w:t>
      </w:r>
    </w:p>
    <w:p w14:paraId="3AF3B21D">
      <w:pPr>
        <w:adjustRightInd/>
        <w:snapToGrid/>
        <w:spacing w:line="360" w:lineRule="auto"/>
        <w:textAlignment w:val="top"/>
        <w:rPr>
          <w:rFonts w:ascii="Times New Roman" w:hAnsi="Times New Roman" w:eastAsia="宋体" w:cs="Times New Roman"/>
          <w:bCs/>
          <w:sz w:val="21"/>
          <w:szCs w:val="21"/>
        </w:rPr>
      </w:pPr>
      <w:r>
        <w:rPr>
          <w:rFonts w:ascii="Times New Roman" w:hAnsi="Times New Roman" w:eastAsia="宋体" w:cs="Times New Roman"/>
          <w:bCs/>
          <w:sz w:val="21"/>
          <w:szCs w:val="21"/>
          <w:vertAlign w:val="subscript"/>
        </w:rPr>
        <w:t xml:space="preserve">    </w:t>
      </w:r>
      <w:r>
        <w:rPr>
          <w:rFonts w:hint="eastAsia" w:ascii="Times New Roman" w:hAnsi="Times New Roman" w:eastAsia="宋体" w:cs="Times New Roman"/>
          <w:bCs/>
          <w:sz w:val="21"/>
          <w:szCs w:val="21"/>
          <w:vertAlign w:val="subscript"/>
        </w:rPr>
        <w:t xml:space="preserve">   </w:t>
      </w:r>
      <w:r>
        <w:rPr>
          <w:rFonts w:ascii="Times New Roman" w:hAnsi="Times New Roman" w:eastAsia="宋体" w:cs="Times New Roman"/>
          <w:bCs/>
          <w:sz w:val="21"/>
          <w:szCs w:val="21"/>
          <w:vertAlign w:val="subscript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</w:rPr>
        <w:t>当</w:t>
      </w:r>
      <w:r>
        <w:rPr>
          <w:rFonts w:hint="eastAsia" w:ascii="Times New Roman" w:hAnsi="Times New Roman" w:eastAsia="宋体" w:cs="Times New Roman"/>
          <w:bCs/>
          <w:i/>
          <w:sz w:val="21"/>
          <w:szCs w:val="21"/>
        </w:rPr>
        <w:t>S</w:t>
      </w:r>
      <w:r>
        <w:rPr>
          <w:rFonts w:ascii="Times New Roman" w:hAnsi="Times New Roman" w:eastAsia="宋体" w:cs="Times New Roman"/>
          <w:bCs/>
          <w:sz w:val="21"/>
          <w:szCs w:val="21"/>
        </w:rPr>
        <w:t>=</w:t>
      </w:r>
      <w:r>
        <w:rPr>
          <w:rFonts w:hint="eastAsia" w:ascii="Times New Roman" w:hAnsi="Times New Roman" w:eastAsia="宋体" w:cs="Times New Roman"/>
          <w:bCs/>
          <w:sz w:val="21"/>
          <w:szCs w:val="21"/>
        </w:rPr>
        <w:t>60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</w:rPr>
        <w:t>dB时，</w:t>
      </w:r>
      <w:r>
        <w:rPr>
          <w:rFonts w:ascii="Cambria Math" w:hAnsi="Cambria Math" w:eastAsia="宋体" w:cs="Cambria Math"/>
          <w:bCs/>
          <w:sz w:val="21"/>
          <w:szCs w:val="21"/>
        </w:rPr>
        <w:t>△</w:t>
      </w:r>
      <w:r>
        <w:rPr>
          <w:rFonts w:hint="eastAsia" w:ascii="Times New Roman" w:hAnsi="Times New Roman" w:eastAsia="宋体" w:cs="Times New Roman"/>
          <w:bCs/>
          <w:i/>
          <w:sz w:val="21"/>
          <w:szCs w:val="21"/>
        </w:rPr>
        <w:t>S</w:t>
      </w:r>
      <w:r>
        <w:rPr>
          <w:rFonts w:ascii="Times New Roman" w:hAnsi="Times New Roman" w:eastAsia="宋体" w:cs="Times New Roman"/>
          <w:bCs/>
          <w:sz w:val="21"/>
          <w:szCs w:val="21"/>
        </w:rPr>
        <w:t>=0.32dB</w:t>
      </w:r>
      <w:r>
        <w:rPr>
          <w:rFonts w:hint="eastAsia" w:ascii="Times New Roman" w:hAnsi="Times New Roman" w:eastAsia="宋体" w:cs="Times New Roman"/>
          <w:bCs/>
          <w:sz w:val="21"/>
          <w:szCs w:val="21"/>
        </w:rPr>
        <w:t>，</w:t>
      </w:r>
      <w:r>
        <w:rPr>
          <w:rFonts w:hint="eastAsia" w:ascii="Times New Roman" w:hAnsi="Times New Roman" w:eastAsia="宋体" w:cs="Times New Roman"/>
          <w:bCs/>
          <w:position w:val="-28"/>
          <w:sz w:val="21"/>
          <w:szCs w:val="21"/>
        </w:rPr>
        <w:object>
          <v:shape id="_x0000_i1112" o:spt="75" type="#_x0000_t75" style="height:33pt;width:91pt;" o:ole="t" filled="f" o:preferrelative="t" stroked="f" coordsize="21600,21600">
            <v:path/>
            <v:fill on="f" alignshape="1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112" DrawAspect="Content" ObjectID="_1468075744" r:id="rId45">
            <o:LockedField>false</o:LockedField>
          </o:OLEObject>
        </w:object>
      </w:r>
    </w:p>
    <w:p w14:paraId="0C58A741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  <w:vertAlign w:val="subscript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（6）衰减量</w:t>
      </w:r>
      <w:r>
        <w:rPr>
          <w:rFonts w:ascii="Times New Roman" w:hAnsi="Times New Roman" w:eastAsia="宋体" w:cs="Times New Roman"/>
          <w:sz w:val="21"/>
          <w:szCs w:val="21"/>
        </w:rPr>
        <w:t>测量重复性引入的不确定度分</w:t>
      </w:r>
      <w:r>
        <w:rPr>
          <w:rFonts w:hint="eastAsia" w:ascii="Times New Roman" w:hAnsi="Times New Roman" w:eastAsia="宋体" w:cs="Times New Roman"/>
          <w:sz w:val="21"/>
          <w:szCs w:val="21"/>
        </w:rPr>
        <w:t>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6</w:t>
      </w:r>
    </w:p>
    <w:p w14:paraId="43956A0D">
      <w:pPr>
        <w:tabs>
          <w:tab w:val="left" w:pos="720"/>
        </w:tabs>
        <w:adjustRightInd w:val="0"/>
        <w:snapToGrid w:val="0"/>
        <w:spacing w:before="156" w:beforeLines="50" w:line="360" w:lineRule="auto"/>
        <w:ind w:firstLine="420" w:firstLineChars="200"/>
        <w:rPr>
          <w:rFonts w:ascii="Times New Roman" w:hAnsi="Times New Roman" w:eastAsia="宋体" w:cs="Times New Roman"/>
          <w:sz w:val="21"/>
          <w:szCs w:val="24"/>
        </w:rPr>
      </w:pPr>
      <w:r>
        <w:rPr>
          <w:rFonts w:ascii="Times New Roman" w:hAnsi="Times New Roman" w:eastAsia="宋体" w:cs="Times New Roman"/>
          <w:sz w:val="21"/>
          <w:szCs w:val="24"/>
        </w:rPr>
        <w:t>对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超声显微镜放大器</w:t>
      </w:r>
      <w:r>
        <w:rPr>
          <w:rFonts w:hint="eastAsia" w:ascii="Times New Roman" w:hAnsi="Times New Roman" w:eastAsia="宋体" w:cs="Times New Roman"/>
          <w:sz w:val="21"/>
          <w:szCs w:val="24"/>
        </w:rPr>
        <w:t>衰减</w:t>
      </w:r>
      <w:r>
        <w:rPr>
          <w:rFonts w:ascii="Times New Roman" w:hAnsi="Times New Roman" w:eastAsia="宋体" w:cs="Times New Roman"/>
          <w:sz w:val="21"/>
          <w:szCs w:val="24"/>
        </w:rPr>
        <w:t>6</w:t>
      </w:r>
      <w:r>
        <w:rPr>
          <w:rFonts w:hint="eastAsia" w:ascii="Times New Roman" w:hAnsi="Times New Roman" w:eastAsia="宋体" w:cs="Times New Roman"/>
          <w:sz w:val="21"/>
          <w:szCs w:val="24"/>
        </w:rPr>
        <w:t>0</w:t>
      </w:r>
      <w:r>
        <w:rPr>
          <w:rFonts w:ascii="Times New Roman" w:hAnsi="Times New Roman" w:eastAsia="宋体" w:cs="Times New Roman"/>
          <w:sz w:val="21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4"/>
        </w:rPr>
        <w:t>dB</w:t>
      </w:r>
      <w:r>
        <w:rPr>
          <w:rFonts w:ascii="Times New Roman" w:hAnsi="Times New Roman" w:eastAsia="宋体" w:cs="Times New Roman"/>
          <w:sz w:val="21"/>
          <w:szCs w:val="24"/>
        </w:rPr>
        <w:t>重复测量10次</w:t>
      </w:r>
      <w:r>
        <w:rPr>
          <w:rFonts w:hint="eastAsia" w:ascii="Times New Roman" w:hAnsi="Times New Roman" w:eastAsia="宋体" w:cs="Times New Roman"/>
          <w:sz w:val="21"/>
          <w:szCs w:val="24"/>
        </w:rPr>
        <w:t>，得数据（dB）：</w:t>
      </w:r>
    </w:p>
    <w:p w14:paraId="5554DF6F">
      <w:pPr>
        <w:adjustRightInd/>
        <w:snapToGrid/>
        <w:spacing w:line="24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 xml:space="preserve">           </w:t>
      </w:r>
      <w:r>
        <w:rPr>
          <w:rFonts w:ascii="Times New Roman" w:hAnsi="Times New Roman" w:eastAsia="宋体" w:cs="Times New Roman"/>
          <w:sz w:val="21"/>
          <w:szCs w:val="21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</w:rPr>
        <w:t>0.1、</w:t>
      </w:r>
      <w:r>
        <w:rPr>
          <w:rFonts w:ascii="Times New Roman" w:hAnsi="Times New Roman" w:eastAsia="宋体" w:cs="Times New Roman"/>
          <w:sz w:val="21"/>
          <w:szCs w:val="21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</w:rPr>
        <w:t>0.1、</w:t>
      </w:r>
      <w:r>
        <w:rPr>
          <w:rFonts w:ascii="Times New Roman" w:hAnsi="Times New Roman" w:eastAsia="宋体" w:cs="Times New Roman"/>
          <w:sz w:val="21"/>
          <w:szCs w:val="21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</w:rPr>
        <w:t>0.</w:t>
      </w:r>
      <w:r>
        <w:rPr>
          <w:rFonts w:ascii="Times New Roman" w:hAnsi="Times New Roman" w:eastAsia="宋体" w:cs="Times New Roman"/>
          <w:sz w:val="21"/>
          <w:szCs w:val="21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</w:rPr>
        <w:t>0.1、</w:t>
      </w:r>
      <w:r>
        <w:rPr>
          <w:rFonts w:ascii="Times New Roman" w:hAnsi="Times New Roman" w:eastAsia="宋体" w:cs="Times New Roman"/>
          <w:sz w:val="21"/>
          <w:szCs w:val="21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</w:rPr>
        <w:t>0.1、</w:t>
      </w:r>
      <w:r>
        <w:rPr>
          <w:rFonts w:ascii="Times New Roman" w:hAnsi="Times New Roman" w:eastAsia="宋体" w:cs="Times New Roman"/>
          <w:sz w:val="21"/>
          <w:szCs w:val="21"/>
        </w:rPr>
        <w:t>6</w:t>
      </w:r>
      <w:r>
        <w:rPr>
          <w:rFonts w:hint="eastAsia" w:ascii="Times New Roman" w:hAnsi="Times New Roman" w:eastAsia="宋体" w:cs="Times New Roman"/>
          <w:sz w:val="21"/>
          <w:szCs w:val="21"/>
        </w:rPr>
        <w:t>0.</w:t>
      </w:r>
      <w:r>
        <w:rPr>
          <w:rFonts w:ascii="Times New Roman" w:hAnsi="Times New Roman" w:eastAsia="宋体" w:cs="Times New Roman"/>
          <w:sz w:val="21"/>
          <w:szCs w:val="21"/>
        </w:rPr>
        <w:t>1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60.2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59</w:t>
      </w:r>
      <w:r>
        <w:rPr>
          <w:rFonts w:hint="eastAsia" w:ascii="Times New Roman" w:hAnsi="Times New Roman" w:eastAsia="宋体" w:cs="Times New Roman"/>
          <w:sz w:val="21"/>
          <w:szCs w:val="21"/>
        </w:rPr>
        <w:t>.9、</w:t>
      </w:r>
      <w:r>
        <w:rPr>
          <w:rFonts w:ascii="Times New Roman" w:hAnsi="Times New Roman" w:eastAsia="宋体" w:cs="Times New Roman"/>
          <w:sz w:val="21"/>
          <w:szCs w:val="21"/>
        </w:rPr>
        <w:t>60.1</w:t>
      </w:r>
      <w:r>
        <w:rPr>
          <w:rFonts w:hint="eastAsia" w:ascii="Times New Roman" w:hAnsi="Times New Roman" w:eastAsia="宋体" w:cs="Times New Roman"/>
          <w:sz w:val="21"/>
          <w:szCs w:val="21"/>
        </w:rPr>
        <w:t>、</w:t>
      </w:r>
      <w:r>
        <w:rPr>
          <w:rFonts w:ascii="Times New Roman" w:hAnsi="Times New Roman" w:eastAsia="宋体" w:cs="Times New Roman"/>
          <w:sz w:val="21"/>
          <w:szCs w:val="21"/>
        </w:rPr>
        <w:t>59</w:t>
      </w:r>
      <w:r>
        <w:rPr>
          <w:rFonts w:hint="eastAsia" w:ascii="Times New Roman" w:hAnsi="Times New Roman" w:eastAsia="宋体" w:cs="Times New Roman"/>
          <w:sz w:val="21"/>
          <w:szCs w:val="21"/>
        </w:rPr>
        <w:t>.9</w:t>
      </w:r>
    </w:p>
    <w:p w14:paraId="49F636BA">
      <w:pPr>
        <w:adjustRightInd/>
        <w:snapToGrid/>
        <w:spacing w:line="360" w:lineRule="auto"/>
        <w:ind w:left="480" w:firstLine="564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楷体" w:cs="楷体_GB2312"/>
          <w:position w:val="-22"/>
          <w:sz w:val="28"/>
          <w:szCs w:val="28"/>
        </w:rPr>
        <w:object>
          <v:shape id="_x0000_i1113" o:spt="75" type="#_x0000_t75" style="height:47.55pt;width:81.9pt;" o:ole="t" filled="f" o:preferrelative="t" stroked="f" coordsize="21600,21600">
            <v:path/>
            <v:fill on="f" alignshape="1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113" DrawAspect="Content" ObjectID="_1468075745" r:id="rId47">
            <o:LockedField>false</o:LockedField>
          </o:OLEObject>
        </w:object>
      </w:r>
      <w:r>
        <w:rPr>
          <w:rFonts w:ascii="Times New Roman" w:hAnsi="Times New Roman" w:eastAsia="楷体" w:cs="楷体_GB2312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4"/>
        </w:rPr>
        <w:t>d</w:t>
      </w:r>
      <w:r>
        <w:rPr>
          <w:rFonts w:ascii="Times New Roman" w:hAnsi="Times New Roman" w:eastAsia="宋体" w:cs="Times New Roman"/>
          <w:sz w:val="21"/>
          <w:szCs w:val="24"/>
        </w:rPr>
        <w:t>B</w:t>
      </w:r>
      <w:r>
        <w:rPr>
          <w:rFonts w:ascii="Times New Roman" w:hAnsi="Times New Roman" w:eastAsia="楷体" w:cs="楷体_GB2312"/>
          <w:sz w:val="28"/>
          <w:szCs w:val="28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 xml:space="preserve">       </w:t>
      </w:r>
      <w:r>
        <w:rPr>
          <w:rFonts w:ascii="Times New Roman" w:hAnsi="Times New Roman" w:eastAsia="楷体" w:cs="楷体_GB2312"/>
          <w:position w:val="-24"/>
          <w:sz w:val="28"/>
          <w:szCs w:val="28"/>
        </w:rPr>
        <w:object>
          <v:shape id="_x0000_i1114" o:spt="75" type="#_x0000_t75" style="height:51.9pt;width:100.9pt;" o:ole="t" filled="f" o:preferrelative="t" stroked="f" coordsize="21600,21600">
            <v:path/>
            <v:fill on="f" alignshape="1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DSMT4" ShapeID="_x0000_i1114" DrawAspect="Content" ObjectID="_1468075746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:szCs w:val="24"/>
        </w:rPr>
        <w:t>dB</w:t>
      </w:r>
    </w:p>
    <w:p w14:paraId="031DB429">
      <w:pPr>
        <w:tabs>
          <w:tab w:val="left" w:pos="720"/>
        </w:tabs>
        <w:adjustRightInd/>
        <w:snapToGrid/>
        <w:spacing w:line="360" w:lineRule="auto"/>
        <w:rPr>
          <w:rFonts w:ascii="Times New Roman" w:hAnsi="Times New Roman" w:eastAsia="宋体" w:cs="Times New Roman"/>
          <w:position w:val="-26"/>
          <w:sz w:val="21"/>
          <w:szCs w:val="21"/>
        </w:rPr>
      </w:pPr>
      <w:r>
        <w:rPr>
          <w:rFonts w:hint="eastAsia" w:ascii="Times New Roman" w:hAnsi="Times New Roman" w:eastAsia="宋体" w:cs="Times New Roman"/>
          <w:bCs/>
          <w:position w:val="-28"/>
          <w:sz w:val="21"/>
          <w:szCs w:val="21"/>
        </w:rPr>
        <w:t>则</w:t>
      </w:r>
      <w:r>
        <w:rPr>
          <w:rFonts w:hint="eastAsia" w:ascii="Times New Roman" w:hAnsi="Times New Roman" w:eastAsia="宋体" w:cs="Times New Roman"/>
          <w:bCs/>
          <w:position w:val="-24"/>
          <w:sz w:val="21"/>
          <w:szCs w:val="21"/>
        </w:rPr>
        <w:object>
          <v:shape id="_x0000_i1115" o:spt="75" type="#_x0000_t75" style="height:31pt;width:98pt;" o:ole="t" filled="f" o:preferrelative="t" stroked="f" coordsize="21600,21600">
            <v:path/>
            <v:fill on="f" alignshape="1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115" DrawAspect="Content" ObjectID="_1468075747" r:id="rId51">
            <o:LockedField>false</o:LockedField>
          </o:OLEObject>
        </w:object>
      </w:r>
    </w:p>
    <w:p w14:paraId="49911A6D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（7）仪器带宽引入的不确定度分量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7</w:t>
      </w:r>
    </w:p>
    <w:p w14:paraId="7B14282D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根据之前带宽不确定度评定结果，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7</w:t>
      </w:r>
      <w:r>
        <w:rPr>
          <w:rFonts w:hint="eastAsia" w:ascii="Times New Roman" w:hAnsi="Times New Roman" w:eastAsia="宋体" w:cs="Times New Roman"/>
          <w:sz w:val="21"/>
          <w:szCs w:val="21"/>
        </w:rPr>
        <w:t>=0.</w:t>
      </w:r>
      <w:r>
        <w:rPr>
          <w:rFonts w:ascii="Times New Roman" w:hAnsi="Times New Roman" w:eastAsia="宋体" w:cs="Times New Roman"/>
          <w:sz w:val="21"/>
          <w:szCs w:val="21"/>
        </w:rPr>
        <w:t>99</w:t>
      </w:r>
      <w:r>
        <w:rPr>
          <w:rFonts w:hint="eastAsia" w:ascii="Times New Roman" w:hAnsi="Times New Roman" w:eastAsia="宋体" w:cs="Times New Roman"/>
          <w:sz w:val="21"/>
          <w:szCs w:val="21"/>
        </w:rPr>
        <w:t>%</w:t>
      </w:r>
    </w:p>
    <w:p w14:paraId="0CD2B573">
      <w:pPr>
        <w:adjustRightInd/>
        <w:snapToGrid/>
        <w:spacing w:line="360" w:lineRule="auto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.4不确定度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分量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一览表</w:t>
      </w:r>
    </w:p>
    <w:tbl>
      <w:tblPr>
        <w:tblStyle w:val="14"/>
        <w:tblW w:w="8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4763"/>
        <w:gridCol w:w="1161"/>
        <w:gridCol w:w="1096"/>
      </w:tblGrid>
      <w:tr w14:paraId="3F469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563A9133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不确定度分量</w:t>
            </w:r>
          </w:p>
        </w:tc>
        <w:tc>
          <w:tcPr>
            <w:tcW w:w="4763" w:type="dxa"/>
            <w:noWrap w:val="0"/>
            <w:vAlign w:val="center"/>
          </w:tcPr>
          <w:p w14:paraId="4B2CC5FA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不确定度来源</w:t>
            </w:r>
          </w:p>
        </w:tc>
        <w:tc>
          <w:tcPr>
            <w:tcW w:w="1161" w:type="dxa"/>
            <w:noWrap w:val="0"/>
            <w:vAlign w:val="center"/>
          </w:tcPr>
          <w:p w14:paraId="2663AA6F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不确定度</w:t>
            </w:r>
          </w:p>
        </w:tc>
        <w:tc>
          <w:tcPr>
            <w:tcW w:w="1096" w:type="dxa"/>
            <w:noWrap w:val="0"/>
            <w:vAlign w:val="center"/>
          </w:tcPr>
          <w:p w14:paraId="73917ADC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i</w:t>
            </w:r>
          </w:p>
        </w:tc>
      </w:tr>
      <w:tr w14:paraId="3355B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239621C4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4763" w:type="dxa"/>
            <w:noWrap w:val="0"/>
            <w:vAlign w:val="center"/>
          </w:tcPr>
          <w:p w14:paraId="38CFB9F6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电压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测量重复性引入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的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不确定度分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161" w:type="dxa"/>
            <w:noWrap w:val="0"/>
            <w:vAlign w:val="center"/>
          </w:tcPr>
          <w:p w14:paraId="71C0CCF3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=1.14%</w:t>
            </w:r>
          </w:p>
        </w:tc>
        <w:tc>
          <w:tcPr>
            <w:tcW w:w="1096" w:type="dxa"/>
            <w:noWrap w:val="0"/>
            <w:vAlign w:val="center"/>
          </w:tcPr>
          <w:p w14:paraId="63538214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1.14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0DFA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7F8BEC13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4763" w:type="dxa"/>
            <w:noWrap w:val="0"/>
            <w:vAlign w:val="center"/>
          </w:tcPr>
          <w:p w14:paraId="6BE6119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信号发生器频率准确度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引入的不确定度分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161" w:type="dxa"/>
            <w:noWrap w:val="0"/>
            <w:vAlign w:val="center"/>
          </w:tcPr>
          <w:p w14:paraId="521985FA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=5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×10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perscript"/>
              </w:rPr>
              <w:t>7</w:t>
            </w:r>
          </w:p>
        </w:tc>
        <w:tc>
          <w:tcPr>
            <w:tcW w:w="1096" w:type="dxa"/>
            <w:noWrap w:val="0"/>
            <w:vAlign w:val="center"/>
          </w:tcPr>
          <w:p w14:paraId="011631F1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5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×10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perscript"/>
              </w:rPr>
              <w:t>7</w:t>
            </w:r>
          </w:p>
        </w:tc>
      </w:tr>
      <w:tr w14:paraId="7EF2F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6B2BFCF0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4763" w:type="dxa"/>
            <w:noWrap w:val="0"/>
            <w:vAlign w:val="center"/>
          </w:tcPr>
          <w:p w14:paraId="3F74F7C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信号发生器幅度准确度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引入的不确定度分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161" w:type="dxa"/>
            <w:noWrap w:val="0"/>
            <w:vAlign w:val="center"/>
          </w:tcPr>
          <w:p w14:paraId="395DFB8C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=0.5%</w:t>
            </w:r>
          </w:p>
        </w:tc>
        <w:tc>
          <w:tcPr>
            <w:tcW w:w="1096" w:type="dxa"/>
            <w:noWrap w:val="0"/>
            <w:vAlign w:val="center"/>
          </w:tcPr>
          <w:p w14:paraId="0CECD03B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0.5%</w:t>
            </w:r>
          </w:p>
        </w:tc>
      </w:tr>
      <w:tr w14:paraId="19E6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045C8311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4763" w:type="dxa"/>
            <w:noWrap w:val="0"/>
            <w:vAlign w:val="center"/>
          </w:tcPr>
          <w:p w14:paraId="31B8C5A9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示波器幅度测量准确度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引入的不确定度分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1161" w:type="dxa"/>
            <w:noWrap w:val="0"/>
            <w:vAlign w:val="center"/>
          </w:tcPr>
          <w:p w14:paraId="32E147F9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=0.5%</w:t>
            </w:r>
          </w:p>
        </w:tc>
        <w:tc>
          <w:tcPr>
            <w:tcW w:w="1096" w:type="dxa"/>
            <w:noWrap w:val="0"/>
            <w:vAlign w:val="center"/>
          </w:tcPr>
          <w:p w14:paraId="6275A9EB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0.5%</w:t>
            </w:r>
          </w:p>
        </w:tc>
      </w:tr>
      <w:tr w14:paraId="3EA8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72FF69B6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5</w:t>
            </w:r>
          </w:p>
        </w:tc>
        <w:tc>
          <w:tcPr>
            <w:tcW w:w="4763" w:type="dxa"/>
            <w:noWrap w:val="0"/>
            <w:vAlign w:val="center"/>
          </w:tcPr>
          <w:p w14:paraId="35413CD9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标准衰减器误差引入的不确定度分量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5</w:t>
            </w:r>
          </w:p>
        </w:tc>
        <w:tc>
          <w:tcPr>
            <w:tcW w:w="1161" w:type="dxa"/>
            <w:noWrap w:val="0"/>
            <w:vAlign w:val="center"/>
          </w:tcPr>
          <w:p w14:paraId="20CC3F7B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5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=0.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%</w:t>
            </w:r>
          </w:p>
        </w:tc>
        <w:tc>
          <w:tcPr>
            <w:tcW w:w="1096" w:type="dxa"/>
            <w:noWrap w:val="0"/>
            <w:vAlign w:val="center"/>
          </w:tcPr>
          <w:p w14:paraId="611E1780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0.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707A0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3248DB00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1"/>
                <w:vertAlign w:val="subscript"/>
              </w:rPr>
              <w:t>6</w:t>
            </w:r>
          </w:p>
        </w:tc>
        <w:tc>
          <w:tcPr>
            <w:tcW w:w="4763" w:type="dxa"/>
            <w:noWrap w:val="0"/>
            <w:vAlign w:val="center"/>
          </w:tcPr>
          <w:p w14:paraId="27B3844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衰减器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测量重复性引入的不确定度分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6</w:t>
            </w:r>
          </w:p>
        </w:tc>
        <w:tc>
          <w:tcPr>
            <w:tcW w:w="1161" w:type="dxa"/>
            <w:noWrap w:val="0"/>
            <w:vAlign w:val="center"/>
          </w:tcPr>
          <w:p w14:paraId="47A7A425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1"/>
                <w:vertAlign w:val="subscript"/>
              </w:rPr>
              <w:t>6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=0.1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%</w:t>
            </w:r>
          </w:p>
        </w:tc>
        <w:tc>
          <w:tcPr>
            <w:tcW w:w="1096" w:type="dxa"/>
            <w:noWrap w:val="0"/>
            <w:vAlign w:val="center"/>
          </w:tcPr>
          <w:p w14:paraId="193E78A1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0.1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  <w:tr w14:paraId="6AF46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3" w:type="dxa"/>
            <w:noWrap w:val="0"/>
            <w:vAlign w:val="center"/>
          </w:tcPr>
          <w:p w14:paraId="0B7D3764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7</w:t>
            </w:r>
          </w:p>
        </w:tc>
        <w:tc>
          <w:tcPr>
            <w:tcW w:w="4763" w:type="dxa"/>
            <w:noWrap w:val="0"/>
            <w:vAlign w:val="center"/>
          </w:tcPr>
          <w:p w14:paraId="4570BAA8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仪器带宽引入的不确定度分量</w:t>
            </w:r>
            <w:r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vertAlign w:val="subscript"/>
              </w:rPr>
              <w:t>7</w:t>
            </w:r>
          </w:p>
        </w:tc>
        <w:tc>
          <w:tcPr>
            <w:tcW w:w="1161" w:type="dxa"/>
            <w:noWrap w:val="0"/>
            <w:vAlign w:val="center"/>
          </w:tcPr>
          <w:p w14:paraId="26BB9DA0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i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1"/>
                <w:vertAlign w:val="subscript"/>
              </w:rPr>
              <w:t>7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=0.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99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%</w:t>
            </w:r>
          </w:p>
        </w:tc>
        <w:tc>
          <w:tcPr>
            <w:tcW w:w="1096" w:type="dxa"/>
            <w:noWrap w:val="0"/>
            <w:vAlign w:val="center"/>
          </w:tcPr>
          <w:p w14:paraId="466F745A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0.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99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%</w:t>
            </w:r>
          </w:p>
        </w:tc>
      </w:tr>
    </w:tbl>
    <w:p w14:paraId="27633D51">
      <w:pPr>
        <w:adjustRightInd/>
        <w:snapToGrid/>
        <w:spacing w:line="360" w:lineRule="auto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.5合成不确定度</w:t>
      </w:r>
    </w:p>
    <w:p w14:paraId="005B2634">
      <w:pPr>
        <w:adjustRightInd/>
        <w:snapToGrid/>
        <w:spacing w:line="360" w:lineRule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position w:val="-14"/>
          <w:sz w:val="21"/>
          <w:szCs w:val="21"/>
        </w:rPr>
        <w:object>
          <v:shape id="_x0000_i1116" o:spt="75" type="#_x0000_t75" style="height:23pt;width:240pt;" o:ole="t" filled="f" o:preferrelative="t" stroked="f" coordsize="21600,21600">
            <v:path/>
            <v:fill on="f" alignshape="1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116" DrawAspect="Content" ObjectID="_1468075748" r:id="rId53">
            <o:LockedField>false</o:LockedField>
          </o:OLEObject>
        </w:object>
      </w:r>
      <w:bookmarkStart w:id="19" w:name="_GoBack"/>
      <w:bookmarkEnd w:id="19"/>
    </w:p>
    <w:p w14:paraId="3CC0B75E">
      <w:pPr>
        <w:adjustRightInd/>
        <w:snapToGrid/>
        <w:spacing w:line="360" w:lineRule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cs="Times New Roman"/>
          <w:b/>
          <w:bCs/>
          <w:sz w:val="21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.6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扩展不确定度</w:t>
      </w:r>
    </w:p>
    <w:p w14:paraId="62C481AA">
      <w:pPr>
        <w:adjustRightInd/>
        <w:snapToGrid/>
        <w:spacing w:line="360" w:lineRule="auto"/>
        <w:ind w:firstLine="420" w:firstLineChars="200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取包含因子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ascii="Times New Roman" w:hAnsi="Times New Roman" w:eastAsia="宋体" w:cs="Times New Roman"/>
          <w:sz w:val="21"/>
          <w:szCs w:val="21"/>
        </w:rPr>
        <w:t>=2</w:t>
      </w:r>
      <w:r>
        <w:rPr>
          <w:rFonts w:hint="eastAsia" w:ascii="Times New Roman" w:hAnsi="Times New Roman" w:eastAsia="宋体" w:cs="Times New Roman"/>
          <w:sz w:val="21"/>
          <w:szCs w:val="21"/>
        </w:rPr>
        <w:t>，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rel</w:t>
      </w:r>
      <w:r>
        <w:rPr>
          <w:rFonts w:ascii="Times New Roman" w:hAnsi="Times New Roman" w:eastAsia="宋体" w:cs="Times New Roman"/>
          <w:sz w:val="21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ku</w:t>
      </w:r>
      <w:r>
        <w:rPr>
          <w:rFonts w:ascii="Times New Roman" w:hAnsi="Times New Roman" w:eastAsia="宋体" w:cs="Times New Roman"/>
          <w:sz w:val="21"/>
          <w:szCs w:val="21"/>
        </w:rPr>
        <w:t>=2×</w:t>
      </w:r>
      <w:r>
        <w:rPr>
          <w:rFonts w:hint="eastAsia" w:ascii="Times New Roman" w:hAnsi="Times New Roman" w:eastAsia="宋体" w:cs="Times New Roman"/>
          <w:sz w:val="21"/>
          <w:szCs w:val="21"/>
        </w:rPr>
        <w:t>1.</w:t>
      </w:r>
      <w:r>
        <w:rPr>
          <w:rFonts w:ascii="Times New Roman" w:hAnsi="Times New Roman" w:eastAsia="宋体" w:cs="Times New Roman"/>
          <w:sz w:val="21"/>
          <w:szCs w:val="21"/>
        </w:rPr>
        <w:t>7%=3.4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%</w:t>
      </w:r>
    </w:p>
    <w:p w14:paraId="516F614B">
      <w:pPr>
        <w:adjustRightInd/>
        <w:snapToGrid/>
        <w:spacing w:line="360" w:lineRule="auto"/>
        <w:ind w:firstLine="630" w:firstLineChars="300"/>
        <w:rPr>
          <w:b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等效输入噪声的测量不确定度为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U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rel</w:t>
      </w:r>
      <w:r>
        <w:rPr>
          <w:rFonts w:ascii="Times New Roman" w:hAnsi="Times New Roman" w:eastAsia="宋体" w:cs="Times New Roman"/>
          <w:sz w:val="21"/>
          <w:szCs w:val="21"/>
        </w:rPr>
        <w:t>=3.4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 xml:space="preserve">%   </w:t>
      </w:r>
      <w:r>
        <w:rPr>
          <w:rFonts w:hint="eastAsia" w:ascii="Times New Roman" w:hAnsi="Times New Roman" w:eastAsia="宋体" w:cs="Times New Roman"/>
          <w:sz w:val="21"/>
          <w:szCs w:val="21"/>
        </w:rPr>
        <w:t>（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ascii="Times New Roman" w:hAnsi="Times New Roman" w:eastAsia="宋体" w:cs="Times New Roman"/>
          <w:sz w:val="21"/>
          <w:szCs w:val="21"/>
        </w:rPr>
        <w:t>=2</w:t>
      </w:r>
      <w:r>
        <w:rPr>
          <w:rFonts w:hint="eastAsia" w:ascii="Times New Roman" w:hAnsi="Times New Roman" w:eastAsia="宋体" w:cs="Times New Roman"/>
          <w:sz w:val="21"/>
          <w:szCs w:val="21"/>
        </w:rPr>
        <w:t>）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</w:p>
    <w:tbl>
      <w:tblPr>
        <w:tblStyle w:val="14"/>
        <w:tblW w:w="0" w:type="auto"/>
        <w:tblInd w:w="2044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2"/>
      </w:tblGrid>
      <w:tr w14:paraId="0329CF4A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872" w:type="dxa"/>
          </w:tcPr>
          <w:p w14:paraId="5C6B95F1">
            <w:pPr>
              <w:pStyle w:val="5"/>
              <w:spacing w:line="360" w:lineRule="auto"/>
              <w:ind w:firstLine="0"/>
              <w:rPr>
                <w:b/>
              </w:rPr>
            </w:pPr>
          </w:p>
        </w:tc>
      </w:tr>
    </w:tbl>
    <w:p w14:paraId="5FDDF405">
      <w:pPr>
        <w:pStyle w:val="5"/>
        <w:spacing w:line="360" w:lineRule="auto"/>
        <w:ind w:firstLine="0"/>
        <w:rPr>
          <w:b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D75D1">
    <w:pPr>
      <w:pStyle w:val="10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180810B">
                <w:pPr>
                  <w:pStyle w:val="1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ii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727C3">
    <w:pPr>
      <w:pStyle w:val="10"/>
      <w:jc w:val="center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62E55A6">
                <w:pPr>
                  <w:pStyle w:val="1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sdt>
      <w:sdtPr>
        <w:id w:val="-1604337225"/>
        <w:showingPlcHdr/>
      </w:sdtPr>
      <w:sdtContent>
        <w:r>
          <w:t xml:space="preserve">     </w:t>
        </w:r>
      </w:sdtContent>
    </w:sdt>
  </w:p>
  <w:p w14:paraId="413BABBD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EAAAB">
    <w:pPr>
      <w:pStyle w:val="10"/>
      <w:jc w:val="center"/>
    </w:pPr>
    <w:r>
      <w:rPr>
        <w:sz w:val="18"/>
      </w:rP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id w:val="147477018"/>
                </w:sdtPr>
                <w:sdtContent>
                  <w:p w14:paraId="7C816D0E">
                    <w:pPr>
                      <w:pStyle w:val="10"/>
                      <w:jc w:val="center"/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  <w:lang w:val="zh-CN"/>
                      </w:rPr>
                      <w:t>4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sdtContent>
              </w:sdt>
              <w:p w14:paraId="56991F24"/>
            </w:txbxContent>
          </v:textbox>
        </v:shape>
      </w:pict>
    </w:r>
  </w:p>
  <w:p w14:paraId="510F509F"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B85858"/>
    <w:multiLevelType w:val="singleLevel"/>
    <w:tmpl w:val="A8B8585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76D57"/>
    <w:rsid w:val="000027EC"/>
    <w:rsid w:val="00034A18"/>
    <w:rsid w:val="00044CE4"/>
    <w:rsid w:val="000545E6"/>
    <w:rsid w:val="00061402"/>
    <w:rsid w:val="00066241"/>
    <w:rsid w:val="00086474"/>
    <w:rsid w:val="000A0E5D"/>
    <w:rsid w:val="000A3935"/>
    <w:rsid w:val="000A3BAC"/>
    <w:rsid w:val="000A553A"/>
    <w:rsid w:val="000A6ED4"/>
    <w:rsid w:val="000B32B3"/>
    <w:rsid w:val="000B3774"/>
    <w:rsid w:val="000C7CE3"/>
    <w:rsid w:val="000D0B03"/>
    <w:rsid w:val="000D2335"/>
    <w:rsid w:val="000D5DF7"/>
    <w:rsid w:val="000D767F"/>
    <w:rsid w:val="000E2480"/>
    <w:rsid w:val="000E4938"/>
    <w:rsid w:val="000F0A36"/>
    <w:rsid w:val="000F4EBE"/>
    <w:rsid w:val="00101B66"/>
    <w:rsid w:val="00102219"/>
    <w:rsid w:val="001225D3"/>
    <w:rsid w:val="00127E39"/>
    <w:rsid w:val="00130A1C"/>
    <w:rsid w:val="00137D57"/>
    <w:rsid w:val="00140383"/>
    <w:rsid w:val="00147738"/>
    <w:rsid w:val="0015219E"/>
    <w:rsid w:val="00152534"/>
    <w:rsid w:val="00161CCD"/>
    <w:rsid w:val="00162B22"/>
    <w:rsid w:val="001736C5"/>
    <w:rsid w:val="001A6EE6"/>
    <w:rsid w:val="001B4707"/>
    <w:rsid w:val="001C39C1"/>
    <w:rsid w:val="001C579B"/>
    <w:rsid w:val="001D259A"/>
    <w:rsid w:val="001E3B7D"/>
    <w:rsid w:val="001E5575"/>
    <w:rsid w:val="001F0517"/>
    <w:rsid w:val="001F6600"/>
    <w:rsid w:val="00202EB2"/>
    <w:rsid w:val="0020586F"/>
    <w:rsid w:val="00206521"/>
    <w:rsid w:val="00206541"/>
    <w:rsid w:val="002138CC"/>
    <w:rsid w:val="00217361"/>
    <w:rsid w:val="0022701A"/>
    <w:rsid w:val="00230043"/>
    <w:rsid w:val="00234319"/>
    <w:rsid w:val="00235458"/>
    <w:rsid w:val="00236B04"/>
    <w:rsid w:val="00243C71"/>
    <w:rsid w:val="00262286"/>
    <w:rsid w:val="002653E0"/>
    <w:rsid w:val="00266B8D"/>
    <w:rsid w:val="002731EF"/>
    <w:rsid w:val="00274653"/>
    <w:rsid w:val="00277ED2"/>
    <w:rsid w:val="00284112"/>
    <w:rsid w:val="00291300"/>
    <w:rsid w:val="00292574"/>
    <w:rsid w:val="002A2D05"/>
    <w:rsid w:val="002A6794"/>
    <w:rsid w:val="002A7932"/>
    <w:rsid w:val="002B03C2"/>
    <w:rsid w:val="002B3895"/>
    <w:rsid w:val="002B4584"/>
    <w:rsid w:val="002C1CE2"/>
    <w:rsid w:val="002C77C8"/>
    <w:rsid w:val="002D161E"/>
    <w:rsid w:val="002D7A12"/>
    <w:rsid w:val="002E2D18"/>
    <w:rsid w:val="0030609F"/>
    <w:rsid w:val="0031449C"/>
    <w:rsid w:val="0031548C"/>
    <w:rsid w:val="00316C50"/>
    <w:rsid w:val="003221E7"/>
    <w:rsid w:val="003246FE"/>
    <w:rsid w:val="00327EE9"/>
    <w:rsid w:val="003341BC"/>
    <w:rsid w:val="00340A6F"/>
    <w:rsid w:val="00354E36"/>
    <w:rsid w:val="00356C4B"/>
    <w:rsid w:val="00363251"/>
    <w:rsid w:val="00370EE1"/>
    <w:rsid w:val="003932A7"/>
    <w:rsid w:val="0039568B"/>
    <w:rsid w:val="003A44B7"/>
    <w:rsid w:val="003A6E63"/>
    <w:rsid w:val="003C4124"/>
    <w:rsid w:val="003C7111"/>
    <w:rsid w:val="003D4E69"/>
    <w:rsid w:val="003D515C"/>
    <w:rsid w:val="003D52A4"/>
    <w:rsid w:val="003D5C59"/>
    <w:rsid w:val="003F07CA"/>
    <w:rsid w:val="00402C73"/>
    <w:rsid w:val="0040379A"/>
    <w:rsid w:val="00406543"/>
    <w:rsid w:val="00410E82"/>
    <w:rsid w:val="00420292"/>
    <w:rsid w:val="00420CD1"/>
    <w:rsid w:val="00421F8D"/>
    <w:rsid w:val="00426F38"/>
    <w:rsid w:val="00427BAB"/>
    <w:rsid w:val="00440127"/>
    <w:rsid w:val="004409C1"/>
    <w:rsid w:val="004437C4"/>
    <w:rsid w:val="00446696"/>
    <w:rsid w:val="00473EBE"/>
    <w:rsid w:val="004842E3"/>
    <w:rsid w:val="00487003"/>
    <w:rsid w:val="004A2620"/>
    <w:rsid w:val="004A4B87"/>
    <w:rsid w:val="004B33D0"/>
    <w:rsid w:val="004C1A69"/>
    <w:rsid w:val="004C21C8"/>
    <w:rsid w:val="004D5FF6"/>
    <w:rsid w:val="004D7E50"/>
    <w:rsid w:val="004E03F3"/>
    <w:rsid w:val="004E245B"/>
    <w:rsid w:val="004F73C2"/>
    <w:rsid w:val="00503600"/>
    <w:rsid w:val="00506590"/>
    <w:rsid w:val="00516D98"/>
    <w:rsid w:val="0052090D"/>
    <w:rsid w:val="00535C2D"/>
    <w:rsid w:val="00536009"/>
    <w:rsid w:val="00536ABF"/>
    <w:rsid w:val="00540A89"/>
    <w:rsid w:val="0054265A"/>
    <w:rsid w:val="00542D26"/>
    <w:rsid w:val="005634D9"/>
    <w:rsid w:val="00566636"/>
    <w:rsid w:val="00567750"/>
    <w:rsid w:val="005720B6"/>
    <w:rsid w:val="0058188A"/>
    <w:rsid w:val="00591F9E"/>
    <w:rsid w:val="0059771E"/>
    <w:rsid w:val="005B27DD"/>
    <w:rsid w:val="005B75E1"/>
    <w:rsid w:val="005C0033"/>
    <w:rsid w:val="005C4939"/>
    <w:rsid w:val="005D0D5B"/>
    <w:rsid w:val="005D685F"/>
    <w:rsid w:val="005E084F"/>
    <w:rsid w:val="005E502D"/>
    <w:rsid w:val="005F2281"/>
    <w:rsid w:val="005F7518"/>
    <w:rsid w:val="00600BC2"/>
    <w:rsid w:val="00603C58"/>
    <w:rsid w:val="006055D5"/>
    <w:rsid w:val="00624AEF"/>
    <w:rsid w:val="00624C0D"/>
    <w:rsid w:val="006265C1"/>
    <w:rsid w:val="00626BDD"/>
    <w:rsid w:val="00627897"/>
    <w:rsid w:val="006605A5"/>
    <w:rsid w:val="00665774"/>
    <w:rsid w:val="00672C6E"/>
    <w:rsid w:val="00675867"/>
    <w:rsid w:val="00693F5E"/>
    <w:rsid w:val="006A06C4"/>
    <w:rsid w:val="006A1FA1"/>
    <w:rsid w:val="006B4DA8"/>
    <w:rsid w:val="006E435E"/>
    <w:rsid w:val="006F0110"/>
    <w:rsid w:val="006F4E5E"/>
    <w:rsid w:val="006F50B6"/>
    <w:rsid w:val="006F626F"/>
    <w:rsid w:val="00700956"/>
    <w:rsid w:val="00704312"/>
    <w:rsid w:val="007176C5"/>
    <w:rsid w:val="00732ECE"/>
    <w:rsid w:val="00737AAE"/>
    <w:rsid w:val="00766439"/>
    <w:rsid w:val="00776C82"/>
    <w:rsid w:val="007868A9"/>
    <w:rsid w:val="00791799"/>
    <w:rsid w:val="00796001"/>
    <w:rsid w:val="007A1F39"/>
    <w:rsid w:val="007A6AD9"/>
    <w:rsid w:val="007B2F00"/>
    <w:rsid w:val="007C00B9"/>
    <w:rsid w:val="007C2726"/>
    <w:rsid w:val="007E6250"/>
    <w:rsid w:val="007F7F24"/>
    <w:rsid w:val="008256B2"/>
    <w:rsid w:val="008328AB"/>
    <w:rsid w:val="008345A4"/>
    <w:rsid w:val="008372B5"/>
    <w:rsid w:val="00841F9B"/>
    <w:rsid w:val="00842552"/>
    <w:rsid w:val="00846E26"/>
    <w:rsid w:val="008478ED"/>
    <w:rsid w:val="00853F3D"/>
    <w:rsid w:val="00855F93"/>
    <w:rsid w:val="00866B83"/>
    <w:rsid w:val="0087149F"/>
    <w:rsid w:val="008748EA"/>
    <w:rsid w:val="008811B8"/>
    <w:rsid w:val="0088563C"/>
    <w:rsid w:val="00892F57"/>
    <w:rsid w:val="0089579B"/>
    <w:rsid w:val="008A3E91"/>
    <w:rsid w:val="008A7E0F"/>
    <w:rsid w:val="008B2850"/>
    <w:rsid w:val="008C4FCA"/>
    <w:rsid w:val="008C73C6"/>
    <w:rsid w:val="008F4741"/>
    <w:rsid w:val="008F5F2F"/>
    <w:rsid w:val="00907247"/>
    <w:rsid w:val="00915FEC"/>
    <w:rsid w:val="00916887"/>
    <w:rsid w:val="0092755B"/>
    <w:rsid w:val="00941C0B"/>
    <w:rsid w:val="00945C54"/>
    <w:rsid w:val="00961B5A"/>
    <w:rsid w:val="009714F4"/>
    <w:rsid w:val="00986530"/>
    <w:rsid w:val="009916DF"/>
    <w:rsid w:val="009A40ED"/>
    <w:rsid w:val="009A69E6"/>
    <w:rsid w:val="009B6F27"/>
    <w:rsid w:val="009C0AAE"/>
    <w:rsid w:val="009D0E45"/>
    <w:rsid w:val="009D7578"/>
    <w:rsid w:val="009E4A76"/>
    <w:rsid w:val="009F3665"/>
    <w:rsid w:val="009F6E07"/>
    <w:rsid w:val="00A11493"/>
    <w:rsid w:val="00A21DF3"/>
    <w:rsid w:val="00A242A8"/>
    <w:rsid w:val="00A31891"/>
    <w:rsid w:val="00A36003"/>
    <w:rsid w:val="00A37FAA"/>
    <w:rsid w:val="00A45196"/>
    <w:rsid w:val="00A47C2B"/>
    <w:rsid w:val="00A51C7A"/>
    <w:rsid w:val="00A55DF9"/>
    <w:rsid w:val="00A57E74"/>
    <w:rsid w:val="00A67A7C"/>
    <w:rsid w:val="00A7056C"/>
    <w:rsid w:val="00A74586"/>
    <w:rsid w:val="00A74D74"/>
    <w:rsid w:val="00A877CE"/>
    <w:rsid w:val="00A962BA"/>
    <w:rsid w:val="00AB392B"/>
    <w:rsid w:val="00AC1778"/>
    <w:rsid w:val="00AD16B5"/>
    <w:rsid w:val="00AD3908"/>
    <w:rsid w:val="00AD652C"/>
    <w:rsid w:val="00AD781D"/>
    <w:rsid w:val="00AE60C7"/>
    <w:rsid w:val="00B07496"/>
    <w:rsid w:val="00B1188D"/>
    <w:rsid w:val="00B20ECB"/>
    <w:rsid w:val="00B24695"/>
    <w:rsid w:val="00B262EA"/>
    <w:rsid w:val="00B26F9A"/>
    <w:rsid w:val="00B30644"/>
    <w:rsid w:val="00B32CE0"/>
    <w:rsid w:val="00B41DF2"/>
    <w:rsid w:val="00B50F3F"/>
    <w:rsid w:val="00B54053"/>
    <w:rsid w:val="00B5492C"/>
    <w:rsid w:val="00B579EE"/>
    <w:rsid w:val="00B67408"/>
    <w:rsid w:val="00B72D31"/>
    <w:rsid w:val="00B806F8"/>
    <w:rsid w:val="00BA4B91"/>
    <w:rsid w:val="00BA5111"/>
    <w:rsid w:val="00BB0DF3"/>
    <w:rsid w:val="00BB409E"/>
    <w:rsid w:val="00BD3F05"/>
    <w:rsid w:val="00BD7533"/>
    <w:rsid w:val="00C02F39"/>
    <w:rsid w:val="00C20EF6"/>
    <w:rsid w:val="00C2449A"/>
    <w:rsid w:val="00C25BEE"/>
    <w:rsid w:val="00C36F49"/>
    <w:rsid w:val="00C60B7B"/>
    <w:rsid w:val="00C656C8"/>
    <w:rsid w:val="00C66B72"/>
    <w:rsid w:val="00C742D5"/>
    <w:rsid w:val="00C74CB1"/>
    <w:rsid w:val="00C83C8B"/>
    <w:rsid w:val="00C863D0"/>
    <w:rsid w:val="00C92289"/>
    <w:rsid w:val="00C945DA"/>
    <w:rsid w:val="00CA5F07"/>
    <w:rsid w:val="00CD0B8D"/>
    <w:rsid w:val="00CD4107"/>
    <w:rsid w:val="00CD52D0"/>
    <w:rsid w:val="00CD59E6"/>
    <w:rsid w:val="00CE5312"/>
    <w:rsid w:val="00CF1A4D"/>
    <w:rsid w:val="00CF7BB0"/>
    <w:rsid w:val="00D0186F"/>
    <w:rsid w:val="00D04851"/>
    <w:rsid w:val="00D12EA8"/>
    <w:rsid w:val="00D17FFC"/>
    <w:rsid w:val="00D23508"/>
    <w:rsid w:val="00D27A78"/>
    <w:rsid w:val="00D303D7"/>
    <w:rsid w:val="00D310D2"/>
    <w:rsid w:val="00D331D7"/>
    <w:rsid w:val="00D35922"/>
    <w:rsid w:val="00D42BDB"/>
    <w:rsid w:val="00D44272"/>
    <w:rsid w:val="00D52995"/>
    <w:rsid w:val="00D52B77"/>
    <w:rsid w:val="00D52BE5"/>
    <w:rsid w:val="00D53290"/>
    <w:rsid w:val="00D62BE8"/>
    <w:rsid w:val="00D764D7"/>
    <w:rsid w:val="00D82C57"/>
    <w:rsid w:val="00D835E3"/>
    <w:rsid w:val="00D84BE6"/>
    <w:rsid w:val="00D8758B"/>
    <w:rsid w:val="00DA451A"/>
    <w:rsid w:val="00DA5AF6"/>
    <w:rsid w:val="00DB17D9"/>
    <w:rsid w:val="00DB4229"/>
    <w:rsid w:val="00DB5A25"/>
    <w:rsid w:val="00DB6F52"/>
    <w:rsid w:val="00DC1189"/>
    <w:rsid w:val="00DC2123"/>
    <w:rsid w:val="00DC4F1A"/>
    <w:rsid w:val="00DE484F"/>
    <w:rsid w:val="00DE4D84"/>
    <w:rsid w:val="00DF2733"/>
    <w:rsid w:val="00DF635C"/>
    <w:rsid w:val="00E02169"/>
    <w:rsid w:val="00E073EF"/>
    <w:rsid w:val="00E17CB7"/>
    <w:rsid w:val="00E238F1"/>
    <w:rsid w:val="00E33BF5"/>
    <w:rsid w:val="00E342F2"/>
    <w:rsid w:val="00E3490B"/>
    <w:rsid w:val="00E34DA6"/>
    <w:rsid w:val="00E3576E"/>
    <w:rsid w:val="00E4532F"/>
    <w:rsid w:val="00E51943"/>
    <w:rsid w:val="00E631C0"/>
    <w:rsid w:val="00E717D9"/>
    <w:rsid w:val="00E727B1"/>
    <w:rsid w:val="00E837B7"/>
    <w:rsid w:val="00E87614"/>
    <w:rsid w:val="00E9489B"/>
    <w:rsid w:val="00E963DB"/>
    <w:rsid w:val="00EB15EF"/>
    <w:rsid w:val="00ED286E"/>
    <w:rsid w:val="00ED6EE3"/>
    <w:rsid w:val="00EE0BCB"/>
    <w:rsid w:val="00EE1426"/>
    <w:rsid w:val="00EE79D4"/>
    <w:rsid w:val="00EF0473"/>
    <w:rsid w:val="00EF2C04"/>
    <w:rsid w:val="00F01601"/>
    <w:rsid w:val="00F03749"/>
    <w:rsid w:val="00F24487"/>
    <w:rsid w:val="00F24B98"/>
    <w:rsid w:val="00F30D1C"/>
    <w:rsid w:val="00F732ED"/>
    <w:rsid w:val="00F73B32"/>
    <w:rsid w:val="00F765EE"/>
    <w:rsid w:val="00F76D57"/>
    <w:rsid w:val="00F77095"/>
    <w:rsid w:val="00F8625A"/>
    <w:rsid w:val="00F87D0D"/>
    <w:rsid w:val="00F90EAF"/>
    <w:rsid w:val="00F9422A"/>
    <w:rsid w:val="00FA17E8"/>
    <w:rsid w:val="00FC1A57"/>
    <w:rsid w:val="00FD4100"/>
    <w:rsid w:val="00FD64D6"/>
    <w:rsid w:val="00FD764F"/>
    <w:rsid w:val="00FE56C3"/>
    <w:rsid w:val="05D76D9F"/>
    <w:rsid w:val="0BA40940"/>
    <w:rsid w:val="0CDA7D73"/>
    <w:rsid w:val="0F8C5331"/>
    <w:rsid w:val="0FDE772A"/>
    <w:rsid w:val="124778AF"/>
    <w:rsid w:val="13B1765B"/>
    <w:rsid w:val="15775929"/>
    <w:rsid w:val="166E7F5B"/>
    <w:rsid w:val="18EE1DF8"/>
    <w:rsid w:val="1CB66AD9"/>
    <w:rsid w:val="1EC61C1C"/>
    <w:rsid w:val="1F6E49FA"/>
    <w:rsid w:val="21F97A95"/>
    <w:rsid w:val="24627405"/>
    <w:rsid w:val="2CEC0393"/>
    <w:rsid w:val="2D0C3D07"/>
    <w:rsid w:val="37E5143C"/>
    <w:rsid w:val="3DE413E0"/>
    <w:rsid w:val="3ED05DE1"/>
    <w:rsid w:val="45CD6F07"/>
    <w:rsid w:val="46AE0617"/>
    <w:rsid w:val="475A4993"/>
    <w:rsid w:val="49D0518A"/>
    <w:rsid w:val="4DE76B55"/>
    <w:rsid w:val="523104E2"/>
    <w:rsid w:val="545B4233"/>
    <w:rsid w:val="573D0D13"/>
    <w:rsid w:val="5E024993"/>
    <w:rsid w:val="63415F1A"/>
    <w:rsid w:val="63CB2429"/>
    <w:rsid w:val="67EC01C4"/>
    <w:rsid w:val="68E55BE8"/>
    <w:rsid w:val="6911120F"/>
    <w:rsid w:val="6C6351A5"/>
    <w:rsid w:val="6DD86115"/>
    <w:rsid w:val="72CF6858"/>
    <w:rsid w:val="736D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spacing w:line="360" w:lineRule="auto"/>
      <w:outlineLvl w:val="2"/>
    </w:pPr>
    <w:rPr>
      <w:b/>
      <w:bCs/>
      <w:sz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link w:val="23"/>
    <w:qFormat/>
    <w:uiPriority w:val="0"/>
    <w:pPr>
      <w:ind w:firstLine="600"/>
    </w:pPr>
    <w:rPr>
      <w:rFonts w:ascii="宋体"/>
      <w:sz w:val="24"/>
      <w:szCs w:val="20"/>
    </w:rPr>
  </w:style>
  <w:style w:type="paragraph" w:styleId="6">
    <w:name w:val="toc 3"/>
    <w:basedOn w:val="1"/>
    <w:next w:val="1"/>
    <w:qFormat/>
    <w:uiPriority w:val="39"/>
    <w:pPr>
      <w:tabs>
        <w:tab w:val="right" w:leader="dot" w:pos="8296"/>
      </w:tabs>
      <w:ind w:firstLine="480" w:firstLineChars="200"/>
      <w:jc w:val="center"/>
    </w:pPr>
    <w:rPr>
      <w:rFonts w:eastAsiaTheme="minorEastAsia"/>
      <w:sz w:val="24"/>
    </w:rPr>
  </w:style>
  <w:style w:type="paragraph" w:styleId="7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8">
    <w:name w:val="Body Text Indent 2"/>
    <w:basedOn w:val="1"/>
    <w:link w:val="27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9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right" w:leader="dot" w:pos="8296"/>
      </w:tabs>
      <w:jc w:val="center"/>
    </w:pPr>
    <w:rPr>
      <w:rFonts w:eastAsiaTheme="minorEastAsia"/>
      <w:b/>
      <w:sz w:val="28"/>
      <w:szCs w:val="28"/>
    </w:rPr>
  </w:style>
  <w:style w:type="paragraph" w:styleId="13">
    <w:name w:val="toc 2"/>
    <w:basedOn w:val="1"/>
    <w:next w:val="1"/>
    <w:qFormat/>
    <w:uiPriority w:val="39"/>
    <w:pPr>
      <w:tabs>
        <w:tab w:val="right" w:leader="dot" w:pos="8302"/>
      </w:tabs>
      <w:spacing w:line="360" w:lineRule="auto"/>
      <w:jc w:val="center"/>
    </w:pPr>
    <w:rPr>
      <w:rFonts w:eastAsiaTheme="minorEastAsia"/>
      <w:b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qFormat/>
    <w:uiPriority w:val="99"/>
    <w:rPr>
      <w:color w:val="0000FF"/>
      <w:u w:val="single"/>
    </w:rPr>
  </w:style>
  <w:style w:type="character" w:customStyle="1" w:styleId="18">
    <w:name w:val="页眉 字符"/>
    <w:basedOn w:val="16"/>
    <w:link w:val="11"/>
    <w:qFormat/>
    <w:uiPriority w:val="99"/>
    <w:rPr>
      <w:sz w:val="18"/>
      <w:szCs w:val="18"/>
    </w:rPr>
  </w:style>
  <w:style w:type="character" w:customStyle="1" w:styleId="19">
    <w:name w:val="页脚 字符"/>
    <w:basedOn w:val="16"/>
    <w:link w:val="10"/>
    <w:qFormat/>
    <w:uiPriority w:val="99"/>
    <w:rPr>
      <w:sz w:val="18"/>
      <w:szCs w:val="18"/>
    </w:rPr>
  </w:style>
  <w:style w:type="character" w:customStyle="1" w:styleId="20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字符"/>
    <w:basedOn w:val="16"/>
    <w:link w:val="4"/>
    <w:qFormat/>
    <w:uiPriority w:val="0"/>
    <w:rPr>
      <w:b/>
      <w:bCs/>
      <w:kern w:val="2"/>
      <w:sz w:val="24"/>
      <w:szCs w:val="24"/>
    </w:rPr>
  </w:style>
  <w:style w:type="character" w:customStyle="1" w:styleId="23">
    <w:name w:val="正文文本缩进 字符"/>
    <w:basedOn w:val="16"/>
    <w:link w:val="5"/>
    <w:qFormat/>
    <w:uiPriority w:val="0"/>
    <w:rPr>
      <w:rFonts w:ascii="宋体" w:hAnsi="Times New Roman" w:eastAsia="宋体" w:cs="Times New Roman"/>
      <w:sz w:val="24"/>
      <w:szCs w:val="20"/>
    </w:rPr>
  </w:style>
  <w:style w:type="character" w:customStyle="1" w:styleId="24">
    <w:name w:val="批注框文本 字符"/>
    <w:basedOn w:val="16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日期 字符"/>
    <w:basedOn w:val="16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2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27">
    <w:name w:val="正文文本缩进 2 字符"/>
    <w:basedOn w:val="16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styleId="29">
    <w:name w:val="Placeholder Text"/>
    <w:basedOn w:val="16"/>
    <w:semiHidden/>
    <w:uiPriority w:val="99"/>
    <w:rPr>
      <w:color w:val="808080"/>
    </w:rPr>
  </w:style>
  <w:style w:type="table" w:customStyle="1" w:styleId="30">
    <w:name w:val="网格型1"/>
    <w:basedOn w:val="1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网格型2"/>
    <w:basedOn w:val="1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8" Type="http://schemas.openxmlformats.org/officeDocument/2006/relationships/fontTable" Target="fontTable.xml"/><Relationship Id="rId57" Type="http://schemas.openxmlformats.org/officeDocument/2006/relationships/customXml" Target="../customXml/item2.xml"/><Relationship Id="rId56" Type="http://schemas.openxmlformats.org/officeDocument/2006/relationships/numbering" Target="numbering.xml"/><Relationship Id="rId55" Type="http://schemas.openxmlformats.org/officeDocument/2006/relationships/customXml" Target="../customXml/item1.xml"/><Relationship Id="rId54" Type="http://schemas.openxmlformats.org/officeDocument/2006/relationships/image" Target="media/image24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" Type="http://schemas.openxmlformats.org/officeDocument/2006/relationships/footer" Target="footer3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0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" Type="http://schemas.openxmlformats.org/officeDocument/2006/relationships/footer" Target="foot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0.bin"/><Relationship Id="rId24" Type="http://schemas.openxmlformats.org/officeDocument/2006/relationships/image" Target="media/image9.wmf"/><Relationship Id="rId23" Type="http://schemas.openxmlformats.org/officeDocument/2006/relationships/oleObject" Target="embeddings/oleObject9.bin"/><Relationship Id="rId22" Type="http://schemas.openxmlformats.org/officeDocument/2006/relationships/image" Target="media/image8.wmf"/><Relationship Id="rId21" Type="http://schemas.openxmlformats.org/officeDocument/2006/relationships/oleObject" Target="embeddings/oleObject8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 textRotate="1"/>
    <customShpInfo spid="_x0000_s2050" textRotate="1"/>
    <customShpInfo spid="_x0000_s2051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91318A-0AC9-4E8A-A12C-8C8CD564F1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1020</Words>
  <Characters>1171</Characters>
  <Lines>17</Lines>
  <Paragraphs>4</Paragraphs>
  <TotalTime>1</TotalTime>
  <ScaleCrop>false</ScaleCrop>
  <LinksUpToDate>false</LinksUpToDate>
  <CharactersWithSpaces>1199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2017-09-22T09:25:00Z</dcterms:created>
  <dc:creator>fengxiujuan</dc:creator>
  <cp:lastModifiedBy>邢广振</cp:lastModifiedBy>
  <cp:lastPrinted>2020-11-17T07:00:00Z</cp:lastPrinted>
  <dcterms:modified xsi:type="dcterms:W3CDTF">2026-07-13T08:17:45Z</dcterms:modified>
  <cp:revision>335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4BB7590AFBCB4A6D82810E1C7DCC0896</vt:lpwstr>
  </property>
  <property fmtid="{D5CDD505-2E9C-101B-9397-08002B2CF9AE}" pid="4" name="KSOTemplateDocerSaveRecord">
    <vt:lpwstr>eyJoZGlkIjoiOWE0OTJhMDM1YjEwODM4ODNkZTA3YWI4ODIxNWVhMTciLCJ1c2VySWQiOiI0NjI1MDIwODUifQ==</vt:lpwstr>
  </property>
</Properties>
</file>